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74" w:rsidRDefault="00FA6274" w:rsidP="00FA6274">
      <w:pPr>
        <w:spacing w:line="280" w:lineRule="atLeast"/>
      </w:pPr>
    </w:p>
    <w:tbl>
      <w:tblPr>
        <w:tblW w:w="0" w:type="auto"/>
        <w:tblLayout w:type="fixed"/>
        <w:tblCellMar>
          <w:left w:w="70" w:type="dxa"/>
          <w:right w:w="70" w:type="dxa"/>
        </w:tblCellMar>
        <w:tblLook w:val="0000" w:firstRow="0" w:lastRow="0" w:firstColumn="0" w:lastColumn="0" w:noHBand="0" w:noVBand="0"/>
      </w:tblPr>
      <w:tblGrid>
        <w:gridCol w:w="2408"/>
      </w:tblGrid>
      <w:tr w:rsidR="00FA6274" w:rsidTr="00AE3AA6">
        <w:trPr>
          <w:trHeight w:hRule="exact" w:val="2410"/>
        </w:trPr>
        <w:tc>
          <w:tcPr>
            <w:tcW w:w="2408" w:type="dxa"/>
          </w:tcPr>
          <w:p w:rsidR="00FA6274" w:rsidRDefault="00D74895" w:rsidP="005571D1">
            <w:pPr>
              <w:pStyle w:val="skakt"/>
              <w:keepNext/>
              <w:keepLines/>
              <w:framePr w:w="0" w:h="8505" w:hRule="exact" w:wrap="around" w:vAnchor="page" w:y="2467"/>
            </w:pPr>
            <w:r>
              <w:t xml:space="preserve">Dato: </w:t>
            </w:r>
            <w:sdt>
              <w:sdtPr>
                <w:tag w:val="DocumentDate"/>
                <w:id w:val="10001"/>
                <w:placeholder>
                  <w:docPart w:val="DefaultPlaceholder_1082065160"/>
                </w:placeholder>
                <w:dataBinding w:prefixMappings="xmlns:gbs='http://www.software-innovation.no/growBusinessDocument'" w:xpath="/gbs:GrowBusinessDocument/gbs:DocumentDate[@gbs:key='10001']" w:storeItemID="{1CFBAAB9-E8E0-4FC5-8476-4ABAF6BEF999}"/>
                <w:date w:fullDate="2017-08-28T00:00:00Z">
                  <w:dateFormat w:val="d. MMMM yyyy"/>
                  <w:lid w:val="da-DK"/>
                  <w:storeMappedDataAs w:val="dateTime"/>
                  <w:calendar w:val="gregorian"/>
                </w:date>
              </w:sdtPr>
              <w:sdtEndPr/>
              <w:sdtContent>
                <w:r w:rsidR="0008620C">
                  <w:t>28. august 2017</w:t>
                </w:r>
              </w:sdtContent>
            </w:sdt>
          </w:p>
          <w:p w:rsidR="00FA6274" w:rsidRDefault="00FA6274" w:rsidP="005571D1">
            <w:pPr>
              <w:pStyle w:val="skakt"/>
              <w:keepNext/>
              <w:keepLines/>
              <w:framePr w:w="0" w:h="8505" w:hRule="exact" w:wrap="around" w:vAnchor="page" w:y="2467"/>
            </w:pPr>
          </w:p>
          <w:p w:rsidR="004C6479" w:rsidRDefault="00D74895" w:rsidP="005571D1">
            <w:pPr>
              <w:pStyle w:val="skakt"/>
              <w:keepNext/>
              <w:keepLines/>
              <w:framePr w:w="0" w:h="8505" w:hRule="exact" w:wrap="around" w:vAnchor="page" w:y="2467"/>
            </w:pPr>
            <w:r>
              <w:t>Sag:</w:t>
            </w:r>
            <w:r w:rsidR="002E4ADA">
              <w:t xml:space="preserve"> KJUR</w:t>
            </w:r>
            <w:r w:rsidR="00AE3AA6">
              <w:t>-</w:t>
            </w:r>
          </w:p>
          <w:p w:rsidR="00D74895" w:rsidRDefault="00D74895" w:rsidP="005571D1">
            <w:pPr>
              <w:pStyle w:val="skakt"/>
              <w:keepNext/>
              <w:keepLines/>
              <w:framePr w:w="0" w:h="8505" w:hRule="exact" w:wrap="around" w:vAnchor="page" w:y="2467"/>
            </w:pPr>
          </w:p>
          <w:p w:rsidR="004C6479" w:rsidRDefault="00A720E9" w:rsidP="005571D1">
            <w:pPr>
              <w:pStyle w:val="skakt"/>
              <w:keepNext/>
              <w:keepLines/>
              <w:framePr w:w="0" w:h="8505" w:hRule="exact" w:wrap="around" w:vAnchor="page" w:y="2467"/>
            </w:pPr>
            <w:r>
              <w:t xml:space="preserve">Sagsbehandler: </w:t>
            </w:r>
            <w:r w:rsidR="00C169BD">
              <w:t>/</w:t>
            </w:r>
            <w:sdt>
              <w:sdtPr>
                <w:tag w:val="OurRef.Initials"/>
                <w:id w:val="10007"/>
                <w:placeholder>
                  <w:docPart w:val="DefaultPlaceholder_1082065158"/>
                </w:placeholder>
                <w:dataBinding w:prefixMappings="xmlns:gbs='http://www.software-innovation.no/growBusinessDocument'" w:xpath="/gbs:GrowBusinessDocument/gbs:OurRef.Initials[@gbs:key='10007']" w:storeItemID="{1CFBAAB9-E8E0-4FC5-8476-4ABAF6BEF999}"/>
                <w:text/>
              </w:sdtPr>
              <w:sdtEndPr/>
              <w:sdtContent>
                <w:r w:rsidR="006B54DB">
                  <w:t>VU</w:t>
                </w:r>
              </w:sdtContent>
            </w:sdt>
          </w:p>
          <w:p w:rsidR="00FA6274" w:rsidRDefault="00FA6274" w:rsidP="005571D1">
            <w:pPr>
              <w:pStyle w:val="skakt"/>
              <w:keepNext/>
              <w:keepLines/>
              <w:framePr w:w="0" w:h="8505" w:hRule="exact" w:wrap="around" w:vAnchor="page" w:y="2467"/>
            </w:pPr>
          </w:p>
        </w:tc>
      </w:tr>
      <w:tr w:rsidR="00FA6274" w:rsidTr="001E553E">
        <w:trPr>
          <w:trHeight w:val="10950"/>
        </w:trPr>
        <w:tc>
          <w:tcPr>
            <w:tcW w:w="2408" w:type="dxa"/>
          </w:tcPr>
          <w:p w:rsidR="00462653" w:rsidRDefault="00462653" w:rsidP="005571D1">
            <w:pPr>
              <w:pStyle w:val="skakt"/>
              <w:framePr w:w="0" w:h="8505" w:hRule="exact" w:wrap="around" w:vAnchor="page" w:y="2467"/>
              <w:rPr>
                <w:rFonts w:ascii="Arial Black" w:hAnsi="Arial Black"/>
                <w:sz w:val="13"/>
              </w:rPr>
            </w:pPr>
            <w:r>
              <w:rPr>
                <w:rFonts w:ascii="Arial Black" w:hAnsi="Arial Black"/>
                <w:sz w:val="13"/>
              </w:rPr>
              <w:t>KONKURRENCE- OG</w:t>
            </w:r>
          </w:p>
          <w:p w:rsidR="00404121" w:rsidRDefault="00404121" w:rsidP="005571D1">
            <w:pPr>
              <w:pStyle w:val="skakt"/>
              <w:framePr w:w="0" w:h="8505" w:hRule="exact" w:wrap="around" w:vAnchor="page" w:y="2467"/>
              <w:rPr>
                <w:rFonts w:ascii="Arial Black" w:hAnsi="Arial Black"/>
                <w:sz w:val="13"/>
              </w:rPr>
            </w:pPr>
            <w:r>
              <w:rPr>
                <w:rFonts w:ascii="Arial Black" w:hAnsi="Arial Black"/>
                <w:sz w:val="13"/>
              </w:rPr>
              <w:t>FORBRUGERSTYRELSEN</w:t>
            </w:r>
          </w:p>
          <w:p w:rsidR="00404121" w:rsidRDefault="00404121" w:rsidP="005571D1">
            <w:pPr>
              <w:pStyle w:val="datomv"/>
              <w:framePr w:h="8505" w:hRule="exact" w:wrap="around" w:vAnchor="page" w:x="8931" w:y="2467"/>
              <w:spacing w:line="220" w:lineRule="exact"/>
            </w:pPr>
          </w:p>
          <w:p w:rsidR="00404121" w:rsidRDefault="00404121" w:rsidP="005571D1">
            <w:pPr>
              <w:pStyle w:val="datomv"/>
              <w:framePr w:h="8505" w:hRule="exact" w:wrap="around" w:vAnchor="page" w:x="8931" w:y="2467"/>
              <w:spacing w:line="220" w:lineRule="exact"/>
            </w:pPr>
          </w:p>
          <w:p w:rsidR="00404121" w:rsidRDefault="00404121" w:rsidP="005571D1">
            <w:pPr>
              <w:pStyle w:val="datomv"/>
              <w:framePr w:h="8505" w:hRule="exact" w:wrap="around" w:vAnchor="page" w:x="8931" w:y="2467"/>
            </w:pPr>
          </w:p>
          <w:p w:rsidR="00FA6274" w:rsidRDefault="00404121" w:rsidP="0046566C">
            <w:pPr>
              <w:pStyle w:val="datomv"/>
              <w:keepNext/>
              <w:keepLines/>
              <w:framePr w:h="8505" w:hRule="exact" w:wrap="around" w:vAnchor="page" w:x="8931" w:y="2467"/>
            </w:pPr>
            <w:r>
              <w:rPr>
                <w:rFonts w:ascii="Arial Black" w:hAnsi="Arial Black"/>
                <w:sz w:val="12"/>
              </w:rPr>
              <w:t>ERHVERVSMINI</w:t>
            </w:r>
            <w:bookmarkStart w:id="0" w:name="_GoBack"/>
            <w:bookmarkEnd w:id="0"/>
            <w:r>
              <w:rPr>
                <w:rFonts w:ascii="Arial Black" w:hAnsi="Arial Black"/>
                <w:sz w:val="12"/>
              </w:rPr>
              <w:t>STERIET</w:t>
            </w:r>
          </w:p>
        </w:tc>
      </w:tr>
    </w:tbl>
    <w:p w:rsidR="00DE543D" w:rsidRDefault="00DE543D" w:rsidP="00E41B55">
      <w:pPr>
        <w:pStyle w:val="Overskrift1"/>
        <w:spacing w:line="240" w:lineRule="auto"/>
        <w:jc w:val="both"/>
      </w:pPr>
    </w:p>
    <w:p w:rsidR="007374D9" w:rsidRDefault="007374D9" w:rsidP="00DE543D">
      <w:pPr>
        <w:spacing w:after="120"/>
        <w:jc w:val="both"/>
        <w:rPr>
          <w:color w:val="808080" w:themeColor="background1" w:themeShade="80"/>
          <w:sz w:val="22"/>
          <w:szCs w:val="22"/>
        </w:rPr>
      </w:pPr>
    </w:p>
    <w:p w:rsidR="00D77AF1" w:rsidRDefault="00D77AF1" w:rsidP="00DE543D">
      <w:pPr>
        <w:spacing w:after="120"/>
        <w:jc w:val="both"/>
        <w:rPr>
          <w:b/>
          <w:sz w:val="22"/>
          <w:szCs w:val="22"/>
        </w:rPr>
      </w:pPr>
    </w:p>
    <w:tbl>
      <w:tblPr>
        <w:tblW w:w="0" w:type="auto"/>
        <w:tblLayout w:type="fixed"/>
        <w:tblCellMar>
          <w:left w:w="0" w:type="dxa"/>
          <w:right w:w="0" w:type="dxa"/>
        </w:tblCellMar>
        <w:tblLook w:val="04A0" w:firstRow="1" w:lastRow="0" w:firstColumn="1" w:lastColumn="0" w:noHBand="0" w:noVBand="1"/>
      </w:tblPr>
      <w:tblGrid>
        <w:gridCol w:w="7258"/>
      </w:tblGrid>
      <w:tr w:rsidR="00AF5386" w:rsidTr="00AF5386">
        <w:trPr>
          <w:cantSplit/>
          <w:trHeight w:val="2268"/>
        </w:trPr>
        <w:tc>
          <w:tcPr>
            <w:tcW w:w="7258" w:type="dxa"/>
            <w:hideMark/>
          </w:tcPr>
          <w:p w:rsidR="00AF5386" w:rsidRDefault="00AF5386">
            <w:pPr>
              <w:rPr>
                <w:b/>
              </w:rPr>
            </w:pPr>
          </w:p>
        </w:tc>
      </w:tr>
    </w:tbl>
    <w:p w:rsidR="00AF5386" w:rsidRDefault="00AF5386" w:rsidP="00AF5386">
      <w:pPr>
        <w:jc w:val="both"/>
        <w:rPr>
          <w:b/>
        </w:rPr>
      </w:pPr>
      <w:r>
        <w:rPr>
          <w:b/>
        </w:rPr>
        <w:t>Processen i en ankesag for Konkurrenceankenævnet</w:t>
      </w:r>
    </w:p>
    <w:p w:rsidR="00AF5386" w:rsidRDefault="00AF5386" w:rsidP="00AF5386">
      <w:pPr>
        <w:jc w:val="both"/>
      </w:pPr>
      <w:r>
        <w:t xml:space="preserve">Notatet beskriver processen i en ankesag for Konkurrenceankenævnet. </w:t>
      </w:r>
    </w:p>
    <w:p w:rsidR="00AF5386" w:rsidRDefault="00AF5386" w:rsidP="00AF5386">
      <w:pPr>
        <w:jc w:val="both"/>
      </w:pPr>
    </w:p>
    <w:p w:rsidR="00AF5386" w:rsidRDefault="00AF5386" w:rsidP="00AF5386">
      <w:pPr>
        <w:jc w:val="both"/>
        <w:rPr>
          <w:b/>
        </w:rPr>
      </w:pPr>
      <w:r>
        <w:rPr>
          <w:b/>
        </w:rPr>
        <w:t xml:space="preserve">Ankesagen opstår og overdrages </w:t>
      </w:r>
      <w:r w:rsidR="002122E1">
        <w:rPr>
          <w:b/>
        </w:rPr>
        <w:t>ti</w:t>
      </w:r>
      <w:r>
        <w:rPr>
          <w:b/>
        </w:rPr>
        <w:t xml:space="preserve">l </w:t>
      </w:r>
      <w:r w:rsidR="002122E1">
        <w:rPr>
          <w:b/>
        </w:rPr>
        <w:t xml:space="preserve">den </w:t>
      </w:r>
      <w:r w:rsidR="00980B5D">
        <w:rPr>
          <w:b/>
        </w:rPr>
        <w:t>”</w:t>
      </w:r>
      <w:r w:rsidR="002122E1">
        <w:rPr>
          <w:b/>
        </w:rPr>
        <w:t xml:space="preserve">den </w:t>
      </w:r>
      <w:r w:rsidR="00562D67">
        <w:rPr>
          <w:b/>
        </w:rPr>
        <w:t>procedure</w:t>
      </w:r>
      <w:r w:rsidR="002122E1">
        <w:rPr>
          <w:b/>
        </w:rPr>
        <w:t>ansvarlige</w:t>
      </w:r>
      <w:r w:rsidR="00980B5D">
        <w:rPr>
          <w:b/>
        </w:rPr>
        <w:t>”</w:t>
      </w:r>
    </w:p>
    <w:p w:rsidR="00AF5386" w:rsidRDefault="00AF5386" w:rsidP="00AF5386">
      <w:pPr>
        <w:jc w:val="both"/>
      </w:pPr>
      <w:r>
        <w:t xml:space="preserve">Så snart et center får kendskab til, at en ankesag er på vej, </w:t>
      </w:r>
      <w:r w:rsidR="00B24391">
        <w:t>underretter konto</w:t>
      </w:r>
      <w:r w:rsidR="00B24391">
        <w:t>r</w:t>
      </w:r>
      <w:r w:rsidR="00B24391">
        <w:t xml:space="preserve">chefen </w:t>
      </w:r>
      <w:r>
        <w:t>BTS</w:t>
      </w:r>
      <w:r w:rsidR="002472E6">
        <w:t xml:space="preserve"> og kontorchefen for KJUR</w:t>
      </w:r>
      <w:r>
        <w:t xml:space="preserve">, </w:t>
      </w:r>
      <w:r w:rsidR="00B24391">
        <w:t xml:space="preserve">som </w:t>
      </w:r>
      <w:r w:rsidR="002472E6">
        <w:t xml:space="preserve">i fællesskab </w:t>
      </w:r>
      <w:r w:rsidR="00B24391">
        <w:t xml:space="preserve">beslutter, </w:t>
      </w:r>
      <w:r>
        <w:t>hvilken medarbejder</w:t>
      </w:r>
      <w:r w:rsidR="00B24391">
        <w:t>,</w:t>
      </w:r>
      <w:r>
        <w:t xml:space="preserve"> der skal </w:t>
      </w:r>
      <w:r w:rsidR="00B24391">
        <w:t xml:space="preserve">føre </w:t>
      </w:r>
      <w:r>
        <w:t>ankesagen</w:t>
      </w:r>
      <w:r w:rsidR="00B24391">
        <w:t xml:space="preserve"> for Konkurrenceankenævnet</w:t>
      </w:r>
      <w:r w:rsidR="00E07C37">
        <w:t xml:space="preserve"> (</w:t>
      </w:r>
      <w:r w:rsidR="007D69A9">
        <w:t>”</w:t>
      </w:r>
      <w:r w:rsidR="002122E1">
        <w:t xml:space="preserve">den </w:t>
      </w:r>
      <w:r w:rsidR="00562D67">
        <w:t>pr</w:t>
      </w:r>
      <w:r w:rsidR="00562D67">
        <w:t>o</w:t>
      </w:r>
      <w:r w:rsidR="00562D67">
        <w:t>cedure</w:t>
      </w:r>
      <w:r w:rsidR="002122E1">
        <w:t>ansvarlige</w:t>
      </w:r>
      <w:r w:rsidR="007D69A9">
        <w:t>”</w:t>
      </w:r>
      <w:r w:rsidR="00E07C37">
        <w:t>)</w:t>
      </w:r>
      <w:r>
        <w:t xml:space="preserve">. </w:t>
      </w:r>
    </w:p>
    <w:p w:rsidR="00B24391" w:rsidRDefault="00B24391" w:rsidP="00AF5386">
      <w:pPr>
        <w:jc w:val="both"/>
      </w:pPr>
    </w:p>
    <w:p w:rsidR="00AF5386" w:rsidRDefault="00AF5386" w:rsidP="00AF5386">
      <w:pPr>
        <w:jc w:val="both"/>
      </w:pPr>
      <w:r>
        <w:t xml:space="preserve">Når klagen er modtaget, </w:t>
      </w:r>
      <w:r w:rsidR="002063FE">
        <w:t xml:space="preserve">sørger </w:t>
      </w:r>
      <w:r w:rsidR="00275C73">
        <w:t>det center, som har behandlet rådssagen,</w:t>
      </w:r>
      <w:r>
        <w:t xml:space="preserve"> </w:t>
      </w:r>
      <w:r w:rsidR="002063FE">
        <w:t>for</w:t>
      </w:r>
      <w:r w:rsidR="00275C73">
        <w:t>,</w:t>
      </w:r>
      <w:r w:rsidR="002063FE">
        <w:t xml:space="preserve"> at det a</w:t>
      </w:r>
      <w:r>
        <w:t>nføre</w:t>
      </w:r>
      <w:r w:rsidR="002063FE">
        <w:t>s</w:t>
      </w:r>
      <w:r>
        <w:t xml:space="preserve"> på den pågældende afgørelse på hjemmesiden, at afgørelsen er </w:t>
      </w:r>
      <w:r w:rsidR="002063FE" w:rsidRPr="002063FE">
        <w:rPr>
          <w:i/>
        </w:rPr>
        <w:t>”</w:t>
      </w:r>
      <w:r w:rsidRPr="002063FE">
        <w:rPr>
          <w:i/>
        </w:rPr>
        <w:t>indbragt for Konkurrenceankenævnet</w:t>
      </w:r>
      <w:r w:rsidR="002063FE" w:rsidRPr="002063FE">
        <w:rPr>
          <w:i/>
        </w:rPr>
        <w:t>”</w:t>
      </w:r>
      <w:r w:rsidRPr="002063FE">
        <w:rPr>
          <w:i/>
        </w:rPr>
        <w:t>.</w:t>
      </w:r>
    </w:p>
    <w:p w:rsidR="00AF5386" w:rsidRDefault="00AF5386" w:rsidP="00AF5386">
      <w:pPr>
        <w:jc w:val="both"/>
      </w:pPr>
    </w:p>
    <w:p w:rsidR="00AF5386" w:rsidRDefault="00AF5386" w:rsidP="00AF5386">
      <w:pPr>
        <w:jc w:val="both"/>
        <w:rPr>
          <w:b/>
        </w:rPr>
      </w:pPr>
      <w:r>
        <w:rPr>
          <w:b/>
        </w:rPr>
        <w:t>Styregruppen</w:t>
      </w:r>
    </w:p>
    <w:p w:rsidR="007D69A9" w:rsidRDefault="00AF5386" w:rsidP="00AF5386">
      <w:pPr>
        <w:jc w:val="both"/>
      </w:pPr>
      <w:r>
        <w:t>Styregruppen for ankesagen består af</w:t>
      </w:r>
      <w:r w:rsidR="007D69A9">
        <w:t>:</w:t>
      </w:r>
      <w:r>
        <w:t xml:space="preserve"> </w:t>
      </w:r>
    </w:p>
    <w:p w:rsidR="007D69A9" w:rsidRDefault="00AF5386" w:rsidP="007D69A9">
      <w:pPr>
        <w:pStyle w:val="Listeafsnit"/>
        <w:numPr>
          <w:ilvl w:val="0"/>
          <w:numId w:val="33"/>
        </w:numPr>
        <w:jc w:val="both"/>
      </w:pPr>
      <w:r>
        <w:t xml:space="preserve">BTS, </w:t>
      </w:r>
    </w:p>
    <w:p w:rsidR="006F448B" w:rsidRDefault="002472E6" w:rsidP="007D69A9">
      <w:pPr>
        <w:pStyle w:val="Listeafsnit"/>
        <w:numPr>
          <w:ilvl w:val="0"/>
          <w:numId w:val="33"/>
        </w:numPr>
        <w:jc w:val="both"/>
      </w:pPr>
      <w:r>
        <w:t>k</w:t>
      </w:r>
      <w:r w:rsidR="006F448B">
        <w:t>ontorchefen for KJUR</w:t>
      </w:r>
    </w:p>
    <w:p w:rsidR="007D69A9" w:rsidRDefault="00AF5386" w:rsidP="007D69A9">
      <w:pPr>
        <w:pStyle w:val="Listeafsnit"/>
        <w:numPr>
          <w:ilvl w:val="0"/>
          <w:numId w:val="33"/>
        </w:numPr>
        <w:jc w:val="both"/>
      </w:pPr>
      <w:r>
        <w:t xml:space="preserve">kontorchefen for det center, hvor sagen kommer fra, </w:t>
      </w:r>
    </w:p>
    <w:p w:rsidR="007D69A9" w:rsidRDefault="002122E1" w:rsidP="007D69A9">
      <w:pPr>
        <w:pStyle w:val="Listeafsnit"/>
        <w:numPr>
          <w:ilvl w:val="0"/>
          <w:numId w:val="33"/>
        </w:numPr>
        <w:jc w:val="both"/>
      </w:pPr>
      <w:r>
        <w:t xml:space="preserve">den </w:t>
      </w:r>
      <w:r w:rsidR="00562D67">
        <w:t>procedure</w:t>
      </w:r>
      <w:r>
        <w:t>ansvarlige</w:t>
      </w:r>
      <w:r w:rsidR="00275C73">
        <w:t xml:space="preserve">, </w:t>
      </w:r>
    </w:p>
    <w:p w:rsidR="007D69A9" w:rsidRDefault="00AF5386" w:rsidP="007D69A9">
      <w:pPr>
        <w:pStyle w:val="Listeafsnit"/>
        <w:numPr>
          <w:ilvl w:val="0"/>
          <w:numId w:val="33"/>
        </w:numPr>
        <w:jc w:val="both"/>
      </w:pPr>
      <w:r>
        <w:t xml:space="preserve">den eller de centrale sagsbehandlere fra rådssagen </w:t>
      </w:r>
    </w:p>
    <w:p w:rsidR="001F45F7" w:rsidRDefault="00275C73" w:rsidP="007D69A9">
      <w:pPr>
        <w:pStyle w:val="Listeafsnit"/>
        <w:numPr>
          <w:ilvl w:val="0"/>
          <w:numId w:val="33"/>
        </w:numPr>
        <w:jc w:val="both"/>
      </w:pPr>
      <w:r>
        <w:t xml:space="preserve">en sparringsperson fra </w:t>
      </w:r>
      <w:r w:rsidR="006F448B">
        <w:t>KJUR</w:t>
      </w:r>
      <w:r>
        <w:t xml:space="preserve"> i de tilfælde, hvor </w:t>
      </w:r>
      <w:r w:rsidR="002122E1">
        <w:t>den procedureansvarl</w:t>
      </w:r>
      <w:r w:rsidR="002122E1">
        <w:t>i</w:t>
      </w:r>
      <w:r w:rsidR="002122E1">
        <w:t>ge</w:t>
      </w:r>
      <w:r>
        <w:t xml:space="preserve"> </w:t>
      </w:r>
      <w:r w:rsidR="00E32A2F">
        <w:t xml:space="preserve">er fra </w:t>
      </w:r>
      <w:r>
        <w:t xml:space="preserve">et konkurrencecenter. </w:t>
      </w:r>
    </w:p>
    <w:p w:rsidR="001F45F7" w:rsidRDefault="001F45F7" w:rsidP="00AF5386">
      <w:pPr>
        <w:jc w:val="both"/>
      </w:pPr>
    </w:p>
    <w:p w:rsidR="00AF5386" w:rsidRDefault="00AF5386" w:rsidP="00AF5386">
      <w:pPr>
        <w:jc w:val="both"/>
      </w:pPr>
      <w:r w:rsidRPr="00E32A2F">
        <w:t xml:space="preserve">Alle i styregruppen deltager </w:t>
      </w:r>
      <w:r w:rsidR="00B24391" w:rsidRPr="00E32A2F">
        <w:t xml:space="preserve">som udgangspunkt </w:t>
      </w:r>
      <w:r w:rsidRPr="00E32A2F">
        <w:t>i alle styregruppemøder. Delt</w:t>
      </w:r>
      <w:r w:rsidRPr="00E32A2F">
        <w:t>a</w:t>
      </w:r>
      <w:r w:rsidRPr="007D69A9">
        <w:t xml:space="preserve">gerne giver herudover kommentarer i overensstemmelse med tidsplanen for sagen og </w:t>
      </w:r>
      <w:r w:rsidR="00B50209" w:rsidRPr="007D69A9">
        <w:t xml:space="preserve">bidrager med </w:t>
      </w:r>
      <w:r w:rsidRPr="007D69A9">
        <w:t xml:space="preserve">sparring og </w:t>
      </w:r>
      <w:r w:rsidR="00B50209" w:rsidRPr="007D69A9">
        <w:t xml:space="preserve">faglige </w:t>
      </w:r>
      <w:r w:rsidRPr="007D69A9">
        <w:t>input</w:t>
      </w:r>
      <w:r w:rsidR="0077742C">
        <w:t>.</w:t>
      </w:r>
      <w:r w:rsidR="00562D67" w:rsidRPr="00E32A2F">
        <w:t xml:space="preserve"> </w:t>
      </w:r>
      <w:r w:rsidR="00337777" w:rsidRPr="00E32A2F">
        <w:t xml:space="preserve">Det er </w:t>
      </w:r>
      <w:r w:rsidR="002122E1">
        <w:t xml:space="preserve">den </w:t>
      </w:r>
      <w:r w:rsidR="00562D67" w:rsidRPr="00E32A2F">
        <w:t>procedure</w:t>
      </w:r>
      <w:r w:rsidR="002122E1">
        <w:t>ansvarl</w:t>
      </w:r>
      <w:r w:rsidR="002122E1">
        <w:t>i</w:t>
      </w:r>
      <w:r w:rsidR="002122E1">
        <w:t xml:space="preserve">ges </w:t>
      </w:r>
      <w:r w:rsidR="00337777" w:rsidRPr="00E32A2F">
        <w:t>ansvar at</w:t>
      </w:r>
      <w:r w:rsidR="00D57564" w:rsidRPr="00E32A2F">
        <w:t xml:space="preserve"> </w:t>
      </w:r>
      <w:r w:rsidR="00E32A2F">
        <w:t>gennemføre</w:t>
      </w:r>
      <w:r w:rsidR="00D57564" w:rsidRPr="00E32A2F">
        <w:t xml:space="preserve"> processen i forbindelse med ankesagsb</w:t>
      </w:r>
      <w:r w:rsidR="00D57564" w:rsidRPr="007D69A9">
        <w:t>e</w:t>
      </w:r>
      <w:r w:rsidR="00D57564" w:rsidRPr="00E32A2F">
        <w:t>handlingen</w:t>
      </w:r>
      <w:r w:rsidR="00562D67" w:rsidRPr="00E32A2F">
        <w:t>, jf. beskrivelsen i det følgende,</w:t>
      </w:r>
      <w:r w:rsidR="00D57564" w:rsidRPr="00E32A2F">
        <w:t xml:space="preserve"> og levere det forudsatte materiale i forbindelse hermed</w:t>
      </w:r>
      <w:r w:rsidR="0077742C">
        <w:t xml:space="preserve">. Centret bistår med sparring og nødvendige </w:t>
      </w:r>
      <w:r w:rsidR="0077742C" w:rsidRPr="00E32A2F">
        <w:t xml:space="preserve">input </w:t>
      </w:r>
      <w:r w:rsidR="0077742C" w:rsidRPr="007D69A9">
        <w:t xml:space="preserve">i forbindelse med </w:t>
      </w:r>
      <w:proofErr w:type="spellStart"/>
      <w:r w:rsidR="0077742C" w:rsidRPr="007D69A9">
        <w:t>sagsforberedelsen</w:t>
      </w:r>
      <w:proofErr w:type="spellEnd"/>
      <w:r w:rsidR="0077742C" w:rsidRPr="007D69A9">
        <w:t xml:space="preserve"> og under den evt. mundtlige forhandling</w:t>
      </w:r>
      <w:r w:rsidR="0077742C" w:rsidRPr="00E32A2F">
        <w:t xml:space="preserve">. </w:t>
      </w:r>
      <w:r w:rsidR="001F45F7" w:rsidRPr="00E32A2F">
        <w:t xml:space="preserve">Det er centret, der er ansvarlige for </w:t>
      </w:r>
      <w:proofErr w:type="spellStart"/>
      <w:r w:rsidR="001F45F7" w:rsidRPr="00E32A2F">
        <w:t>sagsoplysningen</w:t>
      </w:r>
      <w:proofErr w:type="spellEnd"/>
      <w:r w:rsidR="001F45F7" w:rsidRPr="00E32A2F">
        <w:t xml:space="preserve"> som såda</w:t>
      </w:r>
      <w:r w:rsidR="00B50209" w:rsidRPr="00E32A2F">
        <w:t>n, ligesom centret bistår med de pra</w:t>
      </w:r>
      <w:r w:rsidR="00B50209" w:rsidRPr="007D69A9">
        <w:t>k</w:t>
      </w:r>
      <w:r w:rsidR="00B50209" w:rsidRPr="00E32A2F">
        <w:t>tiske forhold i tilknytning til ankesagen, herunder udarbejdelse af bilag, bidrag til material</w:t>
      </w:r>
      <w:r w:rsidR="00B50209" w:rsidRPr="007D69A9">
        <w:t>e</w:t>
      </w:r>
      <w:r w:rsidR="00B50209" w:rsidRPr="00E32A2F">
        <w:t xml:space="preserve">samling osv. </w:t>
      </w:r>
    </w:p>
    <w:p w:rsidR="00E32A2F" w:rsidRDefault="00E32A2F" w:rsidP="00AF5386">
      <w:pPr>
        <w:jc w:val="both"/>
      </w:pPr>
    </w:p>
    <w:p w:rsidR="0077742C" w:rsidRDefault="0077742C" w:rsidP="00AF5386">
      <w:pPr>
        <w:jc w:val="both"/>
        <w:rPr>
          <w:b/>
        </w:rPr>
      </w:pPr>
    </w:p>
    <w:p w:rsidR="0077742C" w:rsidRDefault="0077742C" w:rsidP="00AF5386">
      <w:pPr>
        <w:jc w:val="both"/>
        <w:rPr>
          <w:b/>
        </w:rPr>
      </w:pPr>
    </w:p>
    <w:p w:rsidR="00AF5386" w:rsidRDefault="00AF5386" w:rsidP="00AF5386">
      <w:pPr>
        <w:jc w:val="both"/>
        <w:rPr>
          <w:b/>
        </w:rPr>
      </w:pPr>
      <w:r>
        <w:rPr>
          <w:b/>
        </w:rPr>
        <w:t>Tidsplanen</w:t>
      </w:r>
    </w:p>
    <w:p w:rsidR="00AF5386" w:rsidRDefault="00AF5386" w:rsidP="00AF5386">
      <w:pPr>
        <w:jc w:val="both"/>
      </w:pPr>
      <w:r>
        <w:t>Ankenævnets sekretariat udmelder en tidsplan for skriftvekslingen. I skrif</w:t>
      </w:r>
      <w:r>
        <w:t>t</w:t>
      </w:r>
      <w:r>
        <w:t xml:space="preserve">vekslingen indgår følgende indlæg og typiske tidsfrister: </w:t>
      </w:r>
    </w:p>
    <w:p w:rsidR="00AF5386" w:rsidRDefault="00AF5386" w:rsidP="00AF5386">
      <w:pPr>
        <w:numPr>
          <w:ilvl w:val="0"/>
          <w:numId w:val="25"/>
        </w:numPr>
        <w:jc w:val="both"/>
      </w:pPr>
      <w:r>
        <w:t xml:space="preserve">klage </w:t>
      </w:r>
    </w:p>
    <w:p w:rsidR="00AF5386" w:rsidRDefault="00AF5386" w:rsidP="00AF5386">
      <w:pPr>
        <w:numPr>
          <w:ilvl w:val="0"/>
          <w:numId w:val="25"/>
        </w:numPr>
        <w:jc w:val="both"/>
      </w:pPr>
      <w:r>
        <w:t xml:space="preserve">svarskrift (ca. 4 uger) </w:t>
      </w:r>
    </w:p>
    <w:p w:rsidR="00AF5386" w:rsidRDefault="00AF5386" w:rsidP="00AF5386">
      <w:pPr>
        <w:numPr>
          <w:ilvl w:val="0"/>
          <w:numId w:val="25"/>
        </w:numPr>
        <w:jc w:val="both"/>
      </w:pPr>
      <w:r>
        <w:t xml:space="preserve">replik (ca. 2-4 uger) </w:t>
      </w:r>
    </w:p>
    <w:p w:rsidR="00AF5386" w:rsidRDefault="00AF5386" w:rsidP="00AF5386">
      <w:pPr>
        <w:numPr>
          <w:ilvl w:val="0"/>
          <w:numId w:val="25"/>
        </w:numPr>
        <w:jc w:val="both"/>
      </w:pPr>
      <w:r>
        <w:t>duplik (ca. 2-4 uger)</w:t>
      </w:r>
    </w:p>
    <w:p w:rsidR="00AF5386" w:rsidRDefault="00AF5386" w:rsidP="00AF5386">
      <w:pPr>
        <w:numPr>
          <w:ilvl w:val="0"/>
          <w:numId w:val="25"/>
        </w:numPr>
        <w:jc w:val="both"/>
      </w:pPr>
      <w:r>
        <w:t xml:space="preserve">sammenfattende processkrift </w:t>
      </w:r>
      <w:r w:rsidR="001D5476" w:rsidRPr="0075562D">
        <w:t>og materialesamling</w:t>
      </w:r>
      <w:r w:rsidR="0075562D">
        <w:t xml:space="preserve"> (ca. 2 uger)</w:t>
      </w:r>
      <w:r w:rsidRPr="0075562D">
        <w:t>.</w:t>
      </w:r>
    </w:p>
    <w:p w:rsidR="00AF5386" w:rsidRDefault="00AF5386" w:rsidP="00AF5386">
      <w:pPr>
        <w:jc w:val="both"/>
      </w:pPr>
    </w:p>
    <w:p w:rsidR="00AF5386" w:rsidRDefault="00AF5386" w:rsidP="00AF5386">
      <w:pPr>
        <w:jc w:val="both"/>
      </w:pPr>
      <w:r>
        <w:t xml:space="preserve">Parenteserne angiver de typiske tidsfrister i en konkurrencesag. </w:t>
      </w:r>
      <w:r>
        <w:rPr>
          <w:u w:val="single"/>
        </w:rPr>
        <w:t>Bemærk</w:t>
      </w:r>
      <w:r>
        <w:t>, at fristerne kan afvige afhængig af, hvor omfattende den konkrete sag er.</w:t>
      </w:r>
    </w:p>
    <w:p w:rsidR="00AF5386" w:rsidRDefault="00AF5386" w:rsidP="00AF5386">
      <w:pPr>
        <w:jc w:val="both"/>
      </w:pPr>
    </w:p>
    <w:p w:rsidR="00AF5386" w:rsidRDefault="00AF5386" w:rsidP="00AF5386">
      <w:pPr>
        <w:jc w:val="both"/>
      </w:pPr>
      <w:r>
        <w:t>Aktindsigtssager behandles typisk på skriftligt grundlag – her vil fristerne som udgangspunkt være kortere.</w:t>
      </w:r>
    </w:p>
    <w:p w:rsidR="00AF5386" w:rsidRDefault="00AF5386" w:rsidP="00AF5386">
      <w:pPr>
        <w:jc w:val="both"/>
      </w:pPr>
    </w:p>
    <w:p w:rsidR="00AF5386" w:rsidRDefault="00AF5386" w:rsidP="00AF5386">
      <w:pPr>
        <w:jc w:val="both"/>
      </w:pPr>
      <w:r>
        <w:t>KFST skal levere de skriftlige indlæg i overensstemmelse med de fastsatte fr</w:t>
      </w:r>
      <w:r>
        <w:t>i</w:t>
      </w:r>
      <w:r>
        <w:t xml:space="preserve">ster. </w:t>
      </w:r>
      <w:r>
        <w:rPr>
          <w:i/>
        </w:rPr>
        <w:t>Hvis</w:t>
      </w:r>
      <w:r>
        <w:t xml:space="preserve"> fristerne volder problemer, er ankenævnets sekretariat som udgang</w:t>
      </w:r>
      <w:r>
        <w:t>s</w:t>
      </w:r>
      <w:r>
        <w:t xml:space="preserve">punkt lydhør overfor forslag til ændringer, hvis det i øvrigt er muligt inden for de givne rammer. Forslag til ændringer i tidsplanen kan bedst imødekommes, hvis sekretariatet får besked i forbindelse med klagens indsendelse.  </w:t>
      </w:r>
    </w:p>
    <w:p w:rsidR="00AF5386" w:rsidRDefault="00AF5386" w:rsidP="00AF5386">
      <w:pPr>
        <w:jc w:val="both"/>
      </w:pPr>
    </w:p>
    <w:p w:rsidR="00212C81" w:rsidRDefault="00AF5386" w:rsidP="00AF5386">
      <w:pPr>
        <w:jc w:val="both"/>
      </w:pPr>
      <w:r>
        <w:t xml:space="preserve">Så snart </w:t>
      </w:r>
      <w:r w:rsidR="002122E1">
        <w:t>den procedureansvarlige</w:t>
      </w:r>
      <w:r w:rsidR="00B24391">
        <w:t xml:space="preserve"> </w:t>
      </w:r>
      <w:r>
        <w:t xml:space="preserve">har fået ankenævnets tidsplan, sendes denne til </w:t>
      </w:r>
      <w:r w:rsidR="002472E6">
        <w:t>s</w:t>
      </w:r>
      <w:r>
        <w:t>tyregruppen.</w:t>
      </w:r>
      <w:r w:rsidR="00B50209">
        <w:t xml:space="preserve"> </w:t>
      </w:r>
      <w:r w:rsidR="002122E1">
        <w:t>Den procedureansvarlige</w:t>
      </w:r>
      <w:r w:rsidR="00E07C37">
        <w:t xml:space="preserve"> indkalder samtidig </w:t>
      </w:r>
      <w:r w:rsidR="00B50209">
        <w:t>til alle de styr</w:t>
      </w:r>
      <w:r w:rsidR="00B50209">
        <w:t>e</w:t>
      </w:r>
      <w:r w:rsidR="00B50209">
        <w:t xml:space="preserve">gruppemøder, som sagen vil resultere i (hvis sagen behandles på skriftligt grundlag vil der fx typisk kun være behov for 2 styregruppemøder). Hvis det er muligt, reserveres der samtidig læsetid i </w:t>
      </w:r>
      <w:proofErr w:type="spellStart"/>
      <w:r w:rsidR="00B50209">
        <w:t>BTS’s</w:t>
      </w:r>
      <w:proofErr w:type="spellEnd"/>
      <w:r w:rsidR="00B50209">
        <w:t xml:space="preserve"> kalender (til læsning af materi</w:t>
      </w:r>
      <w:r w:rsidR="00B50209">
        <w:t>a</w:t>
      </w:r>
      <w:r w:rsidR="00B50209">
        <w:t>let til de enkelte styregrup</w:t>
      </w:r>
      <w:r w:rsidR="00E07C37">
        <w:t>pemøder</w:t>
      </w:r>
      <w:r w:rsidR="00B50209">
        <w:t xml:space="preserve">). </w:t>
      </w:r>
    </w:p>
    <w:p w:rsidR="00212C81" w:rsidRDefault="00212C81" w:rsidP="00AF5386">
      <w:pPr>
        <w:jc w:val="both"/>
      </w:pPr>
    </w:p>
    <w:p w:rsidR="00AF5386" w:rsidRDefault="00E07C37" w:rsidP="00AF5386">
      <w:pPr>
        <w:jc w:val="both"/>
      </w:pPr>
      <w:r>
        <w:t>I forbindelse med fremsendelse af udkast til materiale i fortsættelse af styr</w:t>
      </w:r>
      <w:r>
        <w:t>e</w:t>
      </w:r>
      <w:r>
        <w:t>gruppemøderne, reserveres der også læsetid</w:t>
      </w:r>
      <w:r w:rsidR="00212C81">
        <w:t xml:space="preserve"> i BTS’ kalender, i det omfang det er muligt</w:t>
      </w:r>
      <w:r>
        <w:t xml:space="preserve">. </w:t>
      </w:r>
      <w:r w:rsidR="00B50209">
        <w:t xml:space="preserve">  </w:t>
      </w:r>
    </w:p>
    <w:p w:rsidR="00AF5386" w:rsidRDefault="00AF5386" w:rsidP="00AF5386">
      <w:pPr>
        <w:jc w:val="both"/>
      </w:pPr>
      <w:r>
        <w:t xml:space="preserve"> </w:t>
      </w:r>
    </w:p>
    <w:p w:rsidR="00AF5386" w:rsidRDefault="00AF5386" w:rsidP="00AF5386">
      <w:pPr>
        <w:jc w:val="both"/>
        <w:rPr>
          <w:b/>
        </w:rPr>
      </w:pPr>
      <w:r>
        <w:rPr>
          <w:b/>
        </w:rPr>
        <w:t>1. styregruppemøde</w:t>
      </w:r>
      <w:r w:rsidR="0077742C">
        <w:rPr>
          <w:b/>
        </w:rPr>
        <w:t xml:space="preserve"> (vedr. svarskrift)</w:t>
      </w:r>
    </w:p>
    <w:p w:rsidR="00AF5386" w:rsidRDefault="00AF5386" w:rsidP="00AF5386">
      <w:pPr>
        <w:jc w:val="both"/>
      </w:pPr>
      <w:r>
        <w:t>1. styregruppemøde</w:t>
      </w:r>
      <w:r w:rsidR="00E07C37">
        <w:t xml:space="preserve"> bør </w:t>
      </w:r>
      <w:r>
        <w:t xml:space="preserve">ligge ganske få dage (2-3 dage) efter modtagelsen af klagen. </w:t>
      </w:r>
    </w:p>
    <w:p w:rsidR="00AF5386" w:rsidRDefault="00AF5386" w:rsidP="00AF5386">
      <w:pPr>
        <w:jc w:val="both"/>
      </w:pPr>
    </w:p>
    <w:p w:rsidR="00AF5386" w:rsidRDefault="00AF5386" w:rsidP="00AF5386">
      <w:pPr>
        <w:jc w:val="both"/>
      </w:pPr>
      <w:r>
        <w:t xml:space="preserve">Det materiale, som </w:t>
      </w:r>
      <w:r w:rsidR="002122E1">
        <w:t>den procedureansvarlige</w:t>
      </w:r>
      <w:r w:rsidR="00E07C37">
        <w:t xml:space="preserve"> </w:t>
      </w:r>
      <w:r>
        <w:t>skal levere til 1. styregruppemøde, er:</w:t>
      </w:r>
    </w:p>
    <w:p w:rsidR="00AF5386" w:rsidRDefault="00562D67" w:rsidP="00AF5386">
      <w:pPr>
        <w:numPr>
          <w:ilvl w:val="0"/>
          <w:numId w:val="26"/>
        </w:numPr>
        <w:jc w:val="both"/>
      </w:pPr>
      <w:r>
        <w:t>Overordnet o</w:t>
      </w:r>
      <w:r w:rsidR="00AF5386">
        <w:t>plistning af stærke og svage sider i sagen</w:t>
      </w:r>
    </w:p>
    <w:p w:rsidR="00AF5386" w:rsidRDefault="00AF5386" w:rsidP="00AF5386">
      <w:pPr>
        <w:numPr>
          <w:ilvl w:val="0"/>
          <w:numId w:val="26"/>
        </w:numPr>
        <w:jc w:val="both"/>
      </w:pPr>
      <w:r>
        <w:t>Udkast til besvarelse af svære spørgsmål fra ankenævnet (laves sammen med den centrale sagsbehandler fra rådssagen)</w:t>
      </w:r>
    </w:p>
    <w:p w:rsidR="00AF5386" w:rsidRDefault="00AF5386" w:rsidP="00AF5386">
      <w:pPr>
        <w:numPr>
          <w:ilvl w:val="0"/>
          <w:numId w:val="26"/>
        </w:numPr>
        <w:jc w:val="both"/>
      </w:pPr>
      <w:r>
        <w:t>Udkast til ”den gode historie” om, hvorfor Konkurrencerådet traf den p</w:t>
      </w:r>
      <w:r>
        <w:t>å</w:t>
      </w:r>
      <w:r>
        <w:t>gældende afgørelse, og hvorfor ankenævnet skal stadfæste den</w:t>
      </w:r>
      <w:r w:rsidR="004300F0">
        <w:t xml:space="preserve">. Den gode historie skal gå igen i </w:t>
      </w:r>
      <w:r w:rsidR="005516C3">
        <w:t>enkelte processkrifter, jf. nedenfor,</w:t>
      </w:r>
    </w:p>
    <w:p w:rsidR="00AF5386" w:rsidRDefault="00AF5386" w:rsidP="00AF5386">
      <w:pPr>
        <w:jc w:val="both"/>
      </w:pPr>
    </w:p>
    <w:p w:rsidR="00AF5386" w:rsidRDefault="00AF5386" w:rsidP="00AF5386">
      <w:pPr>
        <w:jc w:val="both"/>
      </w:pPr>
      <w:r>
        <w:lastRenderedPageBreak/>
        <w:t xml:space="preserve">På mødet tages der en åben drøftelse af strategien for svarskriftet. På baggrund af disse drøftelser udarbejder </w:t>
      </w:r>
      <w:r w:rsidR="002122E1">
        <w:t>den procedureansvarlige</w:t>
      </w:r>
      <w:r w:rsidR="00B24391">
        <w:t xml:space="preserve"> </w:t>
      </w:r>
      <w:r>
        <w:t>et udkast til svarskrift.</w:t>
      </w:r>
    </w:p>
    <w:p w:rsidR="00AF5386" w:rsidRDefault="00AF5386" w:rsidP="00AF5386">
      <w:pPr>
        <w:jc w:val="both"/>
      </w:pPr>
    </w:p>
    <w:p w:rsidR="00AF5386" w:rsidRDefault="00AF5386" w:rsidP="00AF5386">
      <w:pPr>
        <w:jc w:val="both"/>
        <w:rPr>
          <w:b/>
        </w:rPr>
      </w:pPr>
      <w:r>
        <w:rPr>
          <w:b/>
        </w:rPr>
        <w:t>2. styregruppemøde</w:t>
      </w:r>
      <w:r w:rsidR="0077742C">
        <w:rPr>
          <w:b/>
        </w:rPr>
        <w:t xml:space="preserve"> (vedr. svarskrift)</w:t>
      </w:r>
    </w:p>
    <w:p w:rsidR="00AF5386" w:rsidRDefault="00AF5386" w:rsidP="00AF5386">
      <w:pPr>
        <w:jc w:val="both"/>
      </w:pPr>
      <w:r>
        <w:t>Materialet til 2. styregruppemøde er udkast til svarskrift</w:t>
      </w:r>
      <w:r w:rsidR="009738B1">
        <w:t>, der har følgende a</w:t>
      </w:r>
      <w:r w:rsidR="009738B1">
        <w:t>f</w:t>
      </w:r>
      <w:r w:rsidR="009738B1">
        <w:t>snit: Påstand, sagsfremstilling, anbringender, det juridiske grundlag for Ko</w:t>
      </w:r>
      <w:r w:rsidR="009738B1">
        <w:t>n</w:t>
      </w:r>
      <w:r w:rsidR="009738B1">
        <w:t>kurrencerådets afgørelse, bemærkninger til klagers indsigelser mod Rådets a</w:t>
      </w:r>
      <w:r w:rsidR="009738B1">
        <w:t>f</w:t>
      </w:r>
      <w:r w:rsidR="009738B1">
        <w:t>gørelse)</w:t>
      </w:r>
      <w:r w:rsidR="004300F0">
        <w:t xml:space="preserve">. Vinklen i sagsfremstillingen er ”den gode” historie” (jf. ovenfor). Svarskriftet </w:t>
      </w:r>
      <w:r>
        <w:t xml:space="preserve">skal gøre op med alt, hvad der er anført i klageskriftet. Der skal være tid for styregruppens deltagere til at læse udkastet inden mødet. </w:t>
      </w:r>
    </w:p>
    <w:p w:rsidR="00AF5386" w:rsidRDefault="00AF5386" w:rsidP="00AF5386">
      <w:pPr>
        <w:jc w:val="both"/>
      </w:pPr>
    </w:p>
    <w:p w:rsidR="00AF5386" w:rsidRDefault="00AF5386" w:rsidP="00AF5386">
      <w:pPr>
        <w:jc w:val="both"/>
        <w:rPr>
          <w:b/>
        </w:rPr>
      </w:pPr>
      <w:r>
        <w:rPr>
          <w:b/>
        </w:rPr>
        <w:t>Endeligt svarskrift</w:t>
      </w:r>
    </w:p>
    <w:p w:rsidR="00AF5386" w:rsidRDefault="00AF5386" w:rsidP="00AF5386">
      <w:pPr>
        <w:jc w:val="both"/>
      </w:pPr>
      <w:r>
        <w:t xml:space="preserve">På baggrund af drøftelserne på 2. styregruppemøde laves </w:t>
      </w:r>
      <w:r w:rsidR="001F45F7">
        <w:t xml:space="preserve">et </w:t>
      </w:r>
      <w:r>
        <w:t xml:space="preserve">endeligt svarskrift, som – med mindre andet er aftalt – sendes til BTS til godkendelse primo uge 4. BTS giver herefter en tilbagemelding til </w:t>
      </w:r>
      <w:r w:rsidR="002122E1">
        <w:t>den procedureansvarlige</w:t>
      </w:r>
      <w:r w:rsidR="001F45F7">
        <w:t>,</w:t>
      </w:r>
      <w:r>
        <w:t xml:space="preserve"> således at endeligt svarskrift kan afsendes inden udgangen af fristen (typisk inden udga</w:t>
      </w:r>
      <w:r>
        <w:t>n</w:t>
      </w:r>
      <w:r>
        <w:t xml:space="preserve">gen af uge 4). Forinden godkendelsen hos BTS har </w:t>
      </w:r>
      <w:r w:rsidR="002122E1">
        <w:t>den procedureansvarlige</w:t>
      </w:r>
      <w:r>
        <w:t xml:space="preserve"> indhentet bemærkninger til udkastet til det endelige svarskrift hos kontorchefen </w:t>
      </w:r>
      <w:r w:rsidR="006F448B">
        <w:t xml:space="preserve">for KJUR, kontorchefen for det ansvarlige center </w:t>
      </w:r>
      <w:r>
        <w:t>og de centrale sagsbehandl</w:t>
      </w:r>
      <w:r>
        <w:t>e</w:t>
      </w:r>
      <w:r>
        <w:t xml:space="preserve">re. Da tiden ofte vil være knap i denne fase, </w:t>
      </w:r>
      <w:r w:rsidR="001F45F7">
        <w:t xml:space="preserve">vil realiteten være, at </w:t>
      </w:r>
      <w:r>
        <w:t>styregru</w:t>
      </w:r>
      <w:r>
        <w:t>p</w:t>
      </w:r>
      <w:r>
        <w:t>pen</w:t>
      </w:r>
      <w:r w:rsidR="001F45F7">
        <w:t xml:space="preserve">s medlemmer vil skulle give </w:t>
      </w:r>
      <w:r>
        <w:t xml:space="preserve">konstruktive kommentarer </w:t>
      </w:r>
      <w:r w:rsidR="00212C81">
        <w:t xml:space="preserve">og øvrig relevant bistand </w:t>
      </w:r>
      <w:r w:rsidR="001F45F7">
        <w:t>inden for en</w:t>
      </w:r>
      <w:r>
        <w:t xml:space="preserve"> relativ kort frist</w:t>
      </w:r>
    </w:p>
    <w:p w:rsidR="00AF5386" w:rsidRDefault="00AF5386" w:rsidP="00AF5386">
      <w:pPr>
        <w:jc w:val="both"/>
      </w:pPr>
    </w:p>
    <w:p w:rsidR="00AF5386" w:rsidRDefault="00AF5386" w:rsidP="00AF5386">
      <w:pPr>
        <w:jc w:val="both"/>
        <w:rPr>
          <w:b/>
        </w:rPr>
      </w:pPr>
      <w:r>
        <w:rPr>
          <w:b/>
        </w:rPr>
        <w:t>3. styregruppemøde</w:t>
      </w:r>
      <w:r w:rsidR="0077742C">
        <w:rPr>
          <w:b/>
        </w:rPr>
        <w:t xml:space="preserve"> (duplik)</w:t>
      </w:r>
    </w:p>
    <w:p w:rsidR="00AF5386" w:rsidRDefault="00AF5386" w:rsidP="00AF5386">
      <w:pPr>
        <w:jc w:val="both"/>
      </w:pPr>
      <w:r>
        <w:t xml:space="preserve">Når replikken er modtaget, skal </w:t>
      </w:r>
      <w:r w:rsidR="002122E1">
        <w:t>den procedureansvarlige</w:t>
      </w:r>
      <w:r>
        <w:t xml:space="preserve"> indkalde styregruppen til </w:t>
      </w:r>
      <w:r w:rsidR="001F45F7">
        <w:t xml:space="preserve">et </w:t>
      </w:r>
      <w:r>
        <w:t xml:space="preserve">3. styregruppemøde, som bør afholdes inden for første halvdel af fristen for duplik. </w:t>
      </w:r>
    </w:p>
    <w:p w:rsidR="00AF5386" w:rsidRDefault="00AF5386" w:rsidP="00AF5386">
      <w:pPr>
        <w:jc w:val="both"/>
      </w:pPr>
    </w:p>
    <w:p w:rsidR="00AF5386" w:rsidRDefault="00AF5386" w:rsidP="00AF5386">
      <w:pPr>
        <w:jc w:val="both"/>
      </w:pPr>
      <w:r>
        <w:t>Materialet til 3. styregruppemøde er udkast til duplik</w:t>
      </w:r>
      <w:r w:rsidR="00212C81">
        <w:t xml:space="preserve">. </w:t>
      </w:r>
      <w:r w:rsidR="0077742C">
        <w:t xml:space="preserve">Fokus </w:t>
      </w:r>
      <w:r>
        <w:t xml:space="preserve">skal </w:t>
      </w:r>
      <w:r w:rsidR="00212C81">
        <w:t xml:space="preserve">fortsat </w:t>
      </w:r>
      <w:r>
        <w:t>være på ”den gode historie” om, hvorfor Konkurrencerådet traf lige netop den afg</w:t>
      </w:r>
      <w:r>
        <w:t>ø</w:t>
      </w:r>
      <w:r>
        <w:t xml:space="preserve">relse, og hvorfor ankenævnet skal stadfæste den. Herved kan duplikken fungere som en indgang til det senere mundtlige indlæg. </w:t>
      </w:r>
      <w:r w:rsidR="009738B1">
        <w:t xml:space="preserve">Duplikken skal være så kort som muligt. </w:t>
      </w:r>
      <w:r>
        <w:t>Kun hvis der er nye oplysninger eller decidere</w:t>
      </w:r>
      <w:r w:rsidR="00D23017">
        <w:t>t</w:t>
      </w:r>
      <w:r>
        <w:t xml:space="preserve"> forkerte/usande oplysninger i replikken, skal der svares herpå. Vær opmærksom på, at vi kun følger klagerens inddeling i replikken, hvis den er god, og at alle klagerens punkter ikke skal kommenteres. </w:t>
      </w:r>
      <w:r w:rsidR="009738B1">
        <w:t>Hvis der ikke er anledning til at kommentere klagers bemærkninger i replikken, meddeles det ankenævnet, at klagers replik ikke giver anledning til yderligere bemærkninger.</w:t>
      </w:r>
    </w:p>
    <w:p w:rsidR="00AF5386" w:rsidRDefault="00AF5386" w:rsidP="00AF5386">
      <w:pPr>
        <w:jc w:val="both"/>
      </w:pPr>
    </w:p>
    <w:p w:rsidR="00AF5386" w:rsidRDefault="00AF5386" w:rsidP="00AF5386">
      <w:pPr>
        <w:jc w:val="both"/>
        <w:rPr>
          <w:b/>
        </w:rPr>
      </w:pPr>
      <w:r>
        <w:rPr>
          <w:b/>
        </w:rPr>
        <w:t>Endelig duplik</w:t>
      </w:r>
    </w:p>
    <w:p w:rsidR="00AF5386" w:rsidRDefault="00AF5386" w:rsidP="00AF5386">
      <w:pPr>
        <w:jc w:val="both"/>
      </w:pPr>
      <w:r>
        <w:t>Efter styregruppemødet udarbejdes tilrettet duplik, som sendes til BTS til go</w:t>
      </w:r>
      <w:r>
        <w:t>d</w:t>
      </w:r>
      <w:r>
        <w:t>kendelse primo den sidste uge</w:t>
      </w:r>
      <w:r w:rsidR="001F45F7">
        <w:t>,</w:t>
      </w:r>
      <w:r>
        <w:t xml:space="preserve"> før fristen udløber. BTS giver sin tilbageme</w:t>
      </w:r>
      <w:r>
        <w:t>l</w:t>
      </w:r>
      <w:r>
        <w:t xml:space="preserve">ding til </w:t>
      </w:r>
      <w:r w:rsidR="002122E1">
        <w:t>den procedureansvarlige</w:t>
      </w:r>
      <w:r w:rsidR="009738B1">
        <w:t>,</w:t>
      </w:r>
      <w:r>
        <w:t xml:space="preserve"> således at endelig duplik kan afsendes inden fristens udløb. Som ved svarskriftet indhentes eventuelle bemærkninger til u</w:t>
      </w:r>
      <w:r>
        <w:t>d</w:t>
      </w:r>
      <w:r>
        <w:t xml:space="preserve">kast til den endelige duplik hos kontorchefen </w:t>
      </w:r>
      <w:r w:rsidR="006F448B">
        <w:t xml:space="preserve">for KJUR, kontorchefen for det ansvarlige center </w:t>
      </w:r>
      <w:r>
        <w:t>og de centrale sagsbehandlere inden den endelige godkende</w:t>
      </w:r>
      <w:r>
        <w:t>l</w:t>
      </w:r>
      <w:r>
        <w:lastRenderedPageBreak/>
        <w:t xml:space="preserve">se hos BTS. Også i denne fase må kommentarer </w:t>
      </w:r>
      <w:r w:rsidR="009738B1">
        <w:t xml:space="preserve">og øvrig bistand </w:t>
      </w:r>
      <w:r>
        <w:t xml:space="preserve">forventes at skulle afgives med kort frist. </w:t>
      </w:r>
    </w:p>
    <w:p w:rsidR="0077742C" w:rsidRDefault="0077742C" w:rsidP="00AF5386">
      <w:pPr>
        <w:jc w:val="both"/>
      </w:pPr>
    </w:p>
    <w:p w:rsidR="00AF5386" w:rsidRDefault="00AF5386" w:rsidP="00AF5386">
      <w:pPr>
        <w:jc w:val="both"/>
        <w:rPr>
          <w:b/>
        </w:rPr>
      </w:pPr>
      <w:r>
        <w:rPr>
          <w:b/>
        </w:rPr>
        <w:t>4. styregruppemøde</w:t>
      </w:r>
      <w:r w:rsidR="0077742C">
        <w:rPr>
          <w:b/>
        </w:rPr>
        <w:t xml:space="preserve"> (sammenfattende processkrift og materialesamling)</w:t>
      </w:r>
    </w:p>
    <w:p w:rsidR="001D5476" w:rsidRDefault="00AF5386" w:rsidP="00AF5386">
      <w:pPr>
        <w:jc w:val="both"/>
      </w:pPr>
      <w:r>
        <w:t>Materialet til 4. styregruppemøde er</w:t>
      </w:r>
      <w:r w:rsidR="001D5476">
        <w:t>:</w:t>
      </w:r>
      <w:r>
        <w:t xml:space="preserve"> </w:t>
      </w:r>
    </w:p>
    <w:p w:rsidR="001D5476" w:rsidRDefault="00AF5386" w:rsidP="001D5476">
      <w:pPr>
        <w:pStyle w:val="Listeafsnit"/>
        <w:numPr>
          <w:ilvl w:val="0"/>
          <w:numId w:val="31"/>
        </w:numPr>
        <w:jc w:val="both"/>
      </w:pPr>
      <w:r>
        <w:t>udkast til sammenfattende processkrift</w:t>
      </w:r>
    </w:p>
    <w:p w:rsidR="00AF5386" w:rsidRDefault="001D5476" w:rsidP="001D5476">
      <w:pPr>
        <w:pStyle w:val="Listeafsnit"/>
        <w:numPr>
          <w:ilvl w:val="0"/>
          <w:numId w:val="31"/>
        </w:numPr>
        <w:jc w:val="both"/>
      </w:pPr>
      <w:r>
        <w:t xml:space="preserve">udkast til </w:t>
      </w:r>
      <w:proofErr w:type="spellStart"/>
      <w:r>
        <w:t>KR’s</w:t>
      </w:r>
      <w:proofErr w:type="spellEnd"/>
      <w:r>
        <w:t xml:space="preserve"> andel af materialesamlingen</w:t>
      </w:r>
      <w:r w:rsidR="00AF5386">
        <w:t xml:space="preserve">  </w:t>
      </w:r>
    </w:p>
    <w:p w:rsidR="00AF5386" w:rsidRDefault="00AF5386" w:rsidP="00AF5386">
      <w:pPr>
        <w:jc w:val="both"/>
      </w:pPr>
    </w:p>
    <w:p w:rsidR="00FE7F00" w:rsidRDefault="00AF5386" w:rsidP="00AF5386">
      <w:pPr>
        <w:jc w:val="both"/>
      </w:pPr>
      <w:r>
        <w:t>Til brug for den mundtlige forhandling kræver ankenævnet, at der laves et sammenfattende, processkrift</w:t>
      </w:r>
      <w:r w:rsidR="00A66F6E">
        <w:t>. Der er tale om en samlet præsentation af sagen på 10-12 sider</w:t>
      </w:r>
      <w:r>
        <w:t xml:space="preserve">, der indeholder </w:t>
      </w:r>
      <w:r w:rsidR="00002B43">
        <w:t xml:space="preserve">et </w:t>
      </w:r>
      <w:proofErr w:type="spellStart"/>
      <w:r w:rsidR="00002B43">
        <w:t>ultra</w:t>
      </w:r>
      <w:proofErr w:type="spellEnd"/>
      <w:r w:rsidR="00002B43">
        <w:t xml:space="preserve"> kort resume </w:t>
      </w:r>
      <w:r w:rsidR="00A66F6E">
        <w:t xml:space="preserve">på </w:t>
      </w:r>
      <w:r w:rsidR="00D57564">
        <w:t xml:space="preserve">max </w:t>
      </w:r>
      <w:r w:rsidR="00A66F6E">
        <w:t xml:space="preserve">8-10 linjer, </w:t>
      </w:r>
      <w:r>
        <w:t>de p</w:t>
      </w:r>
      <w:r>
        <w:t>å</w:t>
      </w:r>
      <w:r>
        <w:t xml:space="preserve">stand(e) og anbringender, som gøres gældende </w:t>
      </w:r>
      <w:proofErr w:type="gramStart"/>
      <w:r>
        <w:t>–  i</w:t>
      </w:r>
      <w:proofErr w:type="gramEnd"/>
      <w:r>
        <w:t xml:space="preserve"> systematisk og prioriteret rækkefølge</w:t>
      </w:r>
      <w:r w:rsidR="00A66F6E">
        <w:t xml:space="preserve"> samt en </w:t>
      </w:r>
      <w:r w:rsidR="001F45F7">
        <w:t xml:space="preserve">redegørelse for de anbringender, der gøres gældende for ankenævnet. </w:t>
      </w:r>
      <w:r w:rsidR="00FE7F00">
        <w:t xml:space="preserve">Processkriftet skal </w:t>
      </w:r>
      <w:r w:rsidR="00002B43">
        <w:t xml:space="preserve">udelukkende </w:t>
      </w:r>
      <w:r w:rsidR="00FE7F00">
        <w:t>fokusere på sagens hovedpr</w:t>
      </w:r>
      <w:r w:rsidR="00FE7F00">
        <w:t>o</w:t>
      </w:r>
      <w:r w:rsidR="00FE7F00">
        <w:t>blemstillinger.</w:t>
      </w:r>
    </w:p>
    <w:p w:rsidR="00FE7F00" w:rsidRDefault="00FE7F00" w:rsidP="00AF5386">
      <w:pPr>
        <w:jc w:val="both"/>
      </w:pPr>
    </w:p>
    <w:p w:rsidR="00AF5386" w:rsidRDefault="00AF5386" w:rsidP="00AF5386">
      <w:pPr>
        <w:jc w:val="both"/>
      </w:pPr>
      <w:r>
        <w:t>Vinklen er atter ”den gode historie”, men processkriftet skal skæres kraftigt til i forhold til svarskr</w:t>
      </w:r>
      <w:r w:rsidR="001F45F7">
        <w:t>ift og duplik</w:t>
      </w:r>
      <w:r w:rsidR="00A66F6E">
        <w:t xml:space="preserve">, som </w:t>
      </w:r>
      <w:r w:rsidR="001F45F7">
        <w:t xml:space="preserve">Ankenævnet </w:t>
      </w:r>
      <w:r w:rsidR="00A66F6E">
        <w:t xml:space="preserve">også </w:t>
      </w:r>
      <w:r w:rsidR="001F45F7">
        <w:t>læser. Det sammenfa</w:t>
      </w:r>
      <w:r w:rsidR="001F45F7">
        <w:t>t</w:t>
      </w:r>
      <w:r w:rsidR="001F45F7">
        <w:t xml:space="preserve">tende </w:t>
      </w:r>
      <w:r>
        <w:t>processkriftet skal derfor ikke være en mekanisk sammenskrivning af disse, men skal anses som en vigtig platform for at fremhæve og sammenfatte de mest centrale anbringender og omstændigheder på en måde, så hovedpr</w:t>
      </w:r>
      <w:r>
        <w:t>o</w:t>
      </w:r>
      <w:r>
        <w:t>blemstillingerne træder klart frem i kombination med, at det fremstår som overbevisende, at rådet har foretaget en korrekt vurdering af problemstillinge</w:t>
      </w:r>
      <w:r>
        <w:t>r</w:t>
      </w:r>
      <w:r>
        <w:t>ne</w:t>
      </w:r>
      <w:r w:rsidR="001F45F7">
        <w:t xml:space="preserve"> og dermed truffet ”den helt rigtige afgørelse”.</w:t>
      </w:r>
      <w:r>
        <w:t xml:space="preserve">   </w:t>
      </w:r>
    </w:p>
    <w:p w:rsidR="00AF5386" w:rsidRDefault="00AF5386" w:rsidP="00AF5386">
      <w:pPr>
        <w:jc w:val="both"/>
      </w:pPr>
    </w:p>
    <w:p w:rsidR="00AF5386" w:rsidRDefault="00AF5386" w:rsidP="00AF5386">
      <w:pPr>
        <w:jc w:val="both"/>
      </w:pPr>
      <w:r>
        <w:t xml:space="preserve">Et sammenfattende processkrift skal derfor være så kort som muligt og </w:t>
      </w:r>
      <w:r w:rsidR="001F45F7">
        <w:t xml:space="preserve">bør </w:t>
      </w:r>
      <w:r>
        <w:t>ikke overstige 10-12 sider.</w:t>
      </w:r>
    </w:p>
    <w:p w:rsidR="00AF5386" w:rsidRDefault="00AF5386" w:rsidP="00AF5386">
      <w:pPr>
        <w:jc w:val="both"/>
      </w:pPr>
    </w:p>
    <w:p w:rsidR="00AF5386" w:rsidRDefault="00AF5386" w:rsidP="00AF5386">
      <w:pPr>
        <w:jc w:val="both"/>
      </w:pPr>
      <w:r>
        <w:t>Et sammenfattende processkrift bør indeholde en samlet opsummering af de bilag, som rådet har fremlagt i forbindelse med svarskrift og evt. duplik. Der bør også (som i de øvrige skriftlige indlæg) henvises til de afgørelser og do</w:t>
      </w:r>
      <w:r>
        <w:t>m</w:t>
      </w:r>
      <w:r>
        <w:t>me og den juridiske litteratur m.v., som påberåbes eller anses for vigtig.</w:t>
      </w:r>
    </w:p>
    <w:p w:rsidR="001D5476" w:rsidRDefault="001D5476" w:rsidP="00AF5386">
      <w:pPr>
        <w:jc w:val="both"/>
      </w:pPr>
    </w:p>
    <w:p w:rsidR="00AF5386" w:rsidRDefault="00AF5386" w:rsidP="00AF5386">
      <w:pPr>
        <w:jc w:val="both"/>
        <w:rPr>
          <w:b/>
        </w:rPr>
      </w:pPr>
      <w:r>
        <w:rPr>
          <w:b/>
        </w:rPr>
        <w:t>Endeligt sammenfattende processkrift</w:t>
      </w:r>
    </w:p>
    <w:p w:rsidR="00AF5386" w:rsidRDefault="00AF5386" w:rsidP="00AF5386">
      <w:pPr>
        <w:jc w:val="both"/>
      </w:pPr>
      <w:r>
        <w:t xml:space="preserve">Efter styregruppemødet udarbejdes tilrettet sammenfattende processkrift, som sendes til BTS til godkendelse primo den sidste uge før fristen udløber. BTS giver sin tilbagemelding til </w:t>
      </w:r>
      <w:r w:rsidR="002122E1">
        <w:t>den procedureansvarlige</w:t>
      </w:r>
      <w:r w:rsidR="003C2E22">
        <w:t>,</w:t>
      </w:r>
      <w:r>
        <w:t xml:space="preserve"> således at endelig duplik kan afsendes inden fristens udløb. Som ved svarskrift og duplik </w:t>
      </w:r>
      <w:r w:rsidR="002E4ADA">
        <w:t>er</w:t>
      </w:r>
      <w:r>
        <w:t xml:space="preserve"> bemærkni</w:t>
      </w:r>
      <w:r>
        <w:t>n</w:t>
      </w:r>
      <w:r>
        <w:t>ger til udkast til de</w:t>
      </w:r>
      <w:r w:rsidR="00D23017">
        <w:t>t</w:t>
      </w:r>
      <w:r>
        <w:t xml:space="preserve"> endelige sammenfattende processkrift </w:t>
      </w:r>
      <w:r w:rsidR="002E4ADA">
        <w:t xml:space="preserve">indhentet </w:t>
      </w:r>
      <w:r>
        <w:t>hos ko</w:t>
      </w:r>
      <w:r>
        <w:t>n</w:t>
      </w:r>
      <w:r>
        <w:t>torchefen</w:t>
      </w:r>
      <w:r w:rsidR="006F448B" w:rsidRPr="006F448B">
        <w:t xml:space="preserve"> </w:t>
      </w:r>
      <w:r w:rsidR="006F448B">
        <w:t xml:space="preserve">for KJUR, kontorchefen for det ansvarlige center samt </w:t>
      </w:r>
      <w:r>
        <w:t>de centrale sagsbehandlere inden de</w:t>
      </w:r>
      <w:r w:rsidR="002E4ADA">
        <w:t xml:space="preserve">t sendes til </w:t>
      </w:r>
      <w:r>
        <w:t>endelig godkendelse hos BTS.</w:t>
      </w:r>
    </w:p>
    <w:p w:rsidR="00AF5386" w:rsidRDefault="00AF5386" w:rsidP="00AF5386">
      <w:pPr>
        <w:jc w:val="both"/>
      </w:pPr>
    </w:p>
    <w:p w:rsidR="0077742C" w:rsidRPr="0077742C" w:rsidRDefault="0077742C" w:rsidP="0077742C">
      <w:pPr>
        <w:jc w:val="both"/>
        <w:rPr>
          <w:b/>
        </w:rPr>
      </w:pPr>
      <w:r>
        <w:rPr>
          <w:b/>
        </w:rPr>
        <w:t>Materialesamling</w:t>
      </w:r>
    </w:p>
    <w:p w:rsidR="0077742C" w:rsidRDefault="0077742C" w:rsidP="0077742C">
      <w:pPr>
        <w:jc w:val="both"/>
      </w:pPr>
      <w:r w:rsidRPr="0075562D">
        <w:t xml:space="preserve">Materialesamlingen laves i samarbejde med klagers advokat. </w:t>
      </w:r>
      <w:r>
        <w:t>Udarbejdelsen påbegyndes i god tid</w:t>
      </w:r>
      <w:r w:rsidR="00BC1018">
        <w:t>,</w:t>
      </w:r>
      <w:r>
        <w:t xml:space="preserve"> inden sagen skal afgøres. Det aftales konkret med klagers advokat, hvem der står for den praktiske produktion af samlingen. De større advokathuse er ofte velvilligt indstillet over for at påtage sig opgaven. </w:t>
      </w:r>
    </w:p>
    <w:p w:rsidR="0077742C" w:rsidRDefault="0077742C" w:rsidP="0077742C">
      <w:pPr>
        <w:jc w:val="both"/>
      </w:pPr>
    </w:p>
    <w:p w:rsidR="0077742C" w:rsidRDefault="0077742C" w:rsidP="0077742C">
      <w:pPr>
        <w:jc w:val="both"/>
      </w:pPr>
      <w:r>
        <w:t>Udkast til indholdsfortegnelse og kopi af relevante afgørelser, litteratur og ret</w:t>
      </w:r>
      <w:r>
        <w:t>s</w:t>
      </w:r>
      <w:r>
        <w:t>akter m.v., som ønskes påberåbt, sendes til klagers advokat, som tilføjer sine ønsker til samlingen. Materialesamlingen skal være fremsendt til Konkurrenc</w:t>
      </w:r>
      <w:r>
        <w:t>e</w:t>
      </w:r>
      <w:r>
        <w:t xml:space="preserve">ankenævnet inden for den angivne frist.  </w:t>
      </w:r>
    </w:p>
    <w:p w:rsidR="007D69A9" w:rsidRDefault="007D69A9" w:rsidP="00AF5386">
      <w:pPr>
        <w:jc w:val="both"/>
        <w:rPr>
          <w:b/>
        </w:rPr>
      </w:pPr>
    </w:p>
    <w:p w:rsidR="00AF5386" w:rsidRDefault="00AF5386" w:rsidP="00AF5386">
      <w:pPr>
        <w:jc w:val="both"/>
        <w:rPr>
          <w:b/>
        </w:rPr>
      </w:pPr>
      <w:r>
        <w:rPr>
          <w:b/>
        </w:rPr>
        <w:t>5. styregruppemøde</w:t>
      </w:r>
      <w:r w:rsidR="0077742C">
        <w:rPr>
          <w:b/>
        </w:rPr>
        <w:t xml:space="preserve"> (</w:t>
      </w:r>
      <w:r w:rsidR="00E96210">
        <w:rPr>
          <w:b/>
        </w:rPr>
        <w:t xml:space="preserve">vedr. </w:t>
      </w:r>
      <w:r w:rsidR="0077742C">
        <w:rPr>
          <w:b/>
        </w:rPr>
        <w:t>procedure)</w:t>
      </w:r>
    </w:p>
    <w:p w:rsidR="00AF5386" w:rsidRDefault="003C2E22" w:rsidP="00AF5386">
      <w:pPr>
        <w:jc w:val="both"/>
      </w:pPr>
      <w:r>
        <w:t xml:space="preserve">5. styregruppemøde skal bruges til at </w:t>
      </w:r>
      <w:r w:rsidR="00AF5386">
        <w:t>forberede den mundtlige forhandling</w:t>
      </w:r>
      <w:r>
        <w:t xml:space="preserve">. </w:t>
      </w:r>
      <w:r w:rsidR="00AF5386">
        <w:t xml:space="preserve"> 5. styregruppemøde </w:t>
      </w:r>
      <w:r>
        <w:t xml:space="preserve">bør afholdes </w:t>
      </w:r>
      <w:r w:rsidR="00AF5386">
        <w:t>i god tid inden den mundtlige forhandling i a</w:t>
      </w:r>
      <w:r w:rsidR="00AF5386">
        <w:t>n</w:t>
      </w:r>
      <w:r w:rsidR="00AF5386">
        <w:t>kenævnet. Materialet til 5. styregruppemøde er:</w:t>
      </w:r>
    </w:p>
    <w:p w:rsidR="00AF5386" w:rsidRDefault="00AF5386" w:rsidP="00AF5386">
      <w:pPr>
        <w:jc w:val="both"/>
      </w:pPr>
    </w:p>
    <w:p w:rsidR="00AF5386" w:rsidRDefault="002122E1" w:rsidP="00AF5386">
      <w:pPr>
        <w:numPr>
          <w:ilvl w:val="0"/>
          <w:numId w:val="27"/>
        </w:numPr>
        <w:jc w:val="both"/>
      </w:pPr>
      <w:r>
        <w:t>Den procedureansvarlige</w:t>
      </w:r>
      <w:r w:rsidR="0089372C">
        <w:t xml:space="preserve">s </w:t>
      </w:r>
      <w:r w:rsidR="00AF5386">
        <w:t>udkast til disposition for det mundtlige indlæg</w:t>
      </w:r>
      <w:r w:rsidR="00562D67">
        <w:t xml:space="preserve"> (hvis indholdet af proceduren ikke giver anledning til drøftelser kan der a</w:t>
      </w:r>
      <w:r w:rsidR="00562D67">
        <w:t>l</w:t>
      </w:r>
      <w:r w:rsidR="00562D67">
        <w:t>ternativt afleveres et udkast til procedure).</w:t>
      </w:r>
    </w:p>
    <w:p w:rsidR="00AF5386" w:rsidRDefault="00AF5386" w:rsidP="00AF5386">
      <w:pPr>
        <w:numPr>
          <w:ilvl w:val="0"/>
          <w:numId w:val="27"/>
        </w:numPr>
        <w:jc w:val="both"/>
      </w:pPr>
      <w:r>
        <w:t>Udkast til besvarelse af svære spørgsmål fra ankenævnet</w:t>
      </w:r>
    </w:p>
    <w:p w:rsidR="00AF5386" w:rsidRDefault="00AF5386" w:rsidP="00AF5386">
      <w:pPr>
        <w:jc w:val="both"/>
      </w:pPr>
    </w:p>
    <w:p w:rsidR="00AF5386" w:rsidRDefault="00AF5386" w:rsidP="00AF5386">
      <w:pPr>
        <w:jc w:val="both"/>
        <w:rPr>
          <w:b/>
        </w:rPr>
      </w:pPr>
      <w:r>
        <w:rPr>
          <w:b/>
        </w:rPr>
        <w:t>6. styregruppemøde</w:t>
      </w:r>
      <w:r w:rsidR="0077742C">
        <w:rPr>
          <w:b/>
        </w:rPr>
        <w:t xml:space="preserve"> (</w:t>
      </w:r>
      <w:r w:rsidR="00E96210">
        <w:rPr>
          <w:b/>
        </w:rPr>
        <w:t xml:space="preserve">vedr. </w:t>
      </w:r>
      <w:r w:rsidR="0077742C">
        <w:rPr>
          <w:b/>
        </w:rPr>
        <w:t>procedure)</w:t>
      </w:r>
    </w:p>
    <w:p w:rsidR="00AF5386" w:rsidRDefault="003C2E22" w:rsidP="00AF5386">
      <w:pPr>
        <w:jc w:val="both"/>
      </w:pPr>
      <w:r>
        <w:t xml:space="preserve">På </w:t>
      </w:r>
      <w:r w:rsidR="00AF5386">
        <w:t>6. styregruppemøde</w:t>
      </w:r>
      <w:r>
        <w:t xml:space="preserve"> gennemgås og drøftes </w:t>
      </w:r>
      <w:r w:rsidR="00AF5386">
        <w:t>den endelige udgave af det mundtlige indlæg.</w:t>
      </w:r>
      <w:r w:rsidR="00E96210">
        <w:t xml:space="preserve"> </w:t>
      </w:r>
      <w:r w:rsidR="00AF5386">
        <w:t>Materialet til 6. styregruppemøde er:</w:t>
      </w:r>
    </w:p>
    <w:p w:rsidR="00AF5386" w:rsidRDefault="00AF5386" w:rsidP="00AF5386">
      <w:pPr>
        <w:jc w:val="both"/>
      </w:pPr>
    </w:p>
    <w:p w:rsidR="00AF5386" w:rsidRDefault="00AF5386" w:rsidP="00AF5386">
      <w:pPr>
        <w:numPr>
          <w:ilvl w:val="0"/>
          <w:numId w:val="28"/>
        </w:numPr>
        <w:jc w:val="both"/>
      </w:pPr>
      <w:r>
        <w:t>Endelig udgave af besvarelse af svære spørgsmål fra ankenævnet</w:t>
      </w:r>
    </w:p>
    <w:p w:rsidR="00AF5386" w:rsidRDefault="00AF5386" w:rsidP="00AF5386">
      <w:pPr>
        <w:numPr>
          <w:ilvl w:val="0"/>
          <w:numId w:val="28"/>
        </w:numPr>
        <w:jc w:val="both"/>
      </w:pPr>
      <w:r>
        <w:t>Endelig udgave af det mundtlige indlæg</w:t>
      </w:r>
    </w:p>
    <w:p w:rsidR="00AF5386" w:rsidRDefault="00B73573" w:rsidP="007D69A9">
      <w:pPr>
        <w:tabs>
          <w:tab w:val="left" w:pos="4935"/>
        </w:tabs>
        <w:jc w:val="both"/>
      </w:pPr>
      <w:r>
        <w:tab/>
      </w:r>
    </w:p>
    <w:p w:rsidR="003C2E22" w:rsidRPr="003C2E22" w:rsidRDefault="00AF5386" w:rsidP="003C2E22">
      <w:pPr>
        <w:jc w:val="both"/>
        <w:rPr>
          <w:b/>
        </w:rPr>
      </w:pPr>
      <w:r>
        <w:rPr>
          <w:b/>
        </w:rPr>
        <w:t>Den mundtlige forhandling</w:t>
      </w:r>
    </w:p>
    <w:p w:rsidR="00D57564" w:rsidRDefault="00AF5386" w:rsidP="003C2E22">
      <w:pPr>
        <w:jc w:val="both"/>
      </w:pPr>
      <w:r w:rsidRPr="003C2E22">
        <w:t xml:space="preserve">I den mundtlige forhandling for ankenævnet deltager – foruden </w:t>
      </w:r>
      <w:r w:rsidR="002122E1">
        <w:t>den procedur</w:t>
      </w:r>
      <w:r w:rsidR="002122E1">
        <w:t>e</w:t>
      </w:r>
      <w:r w:rsidR="002122E1">
        <w:t>ansvarlige</w:t>
      </w:r>
      <w:r w:rsidR="003C2E22" w:rsidRPr="003C2E22">
        <w:t xml:space="preserve"> </w:t>
      </w:r>
      <w:r w:rsidRPr="003C2E22">
        <w:t>– kontorchefen for centret</w:t>
      </w:r>
      <w:r w:rsidR="003C2E22">
        <w:t xml:space="preserve">, </w:t>
      </w:r>
      <w:r w:rsidRPr="003C2E22">
        <w:t>den</w:t>
      </w:r>
      <w:r w:rsidR="00E4456E" w:rsidRPr="003C2E22">
        <w:t>/de</w:t>
      </w:r>
      <w:r w:rsidRPr="003C2E22">
        <w:t xml:space="preserve"> centrale sagsbehandler</w:t>
      </w:r>
      <w:r w:rsidR="00E4456E" w:rsidRPr="003C2E22">
        <w:t>(e)</w:t>
      </w:r>
      <w:r w:rsidRPr="003C2E22">
        <w:t xml:space="preserve"> fra rådssagen</w:t>
      </w:r>
      <w:r w:rsidR="003C2E22" w:rsidRPr="003C2E22">
        <w:t xml:space="preserve"> og evt. </w:t>
      </w:r>
      <w:r w:rsidR="006F448B">
        <w:t>kontorchefen for KJUR og</w:t>
      </w:r>
      <w:r w:rsidR="00505E6B">
        <w:t>/eller</w:t>
      </w:r>
      <w:r w:rsidR="006F448B">
        <w:t xml:space="preserve"> </w:t>
      </w:r>
      <w:r w:rsidR="003C2E22" w:rsidRPr="003C2E22">
        <w:t>BTS</w:t>
      </w:r>
      <w:r w:rsidRPr="003C2E22">
        <w:t xml:space="preserve">. </w:t>
      </w:r>
    </w:p>
    <w:p w:rsidR="00D57564" w:rsidRDefault="00D57564" w:rsidP="003C2E22">
      <w:pPr>
        <w:jc w:val="both"/>
      </w:pPr>
    </w:p>
    <w:p w:rsidR="00AF5386" w:rsidRPr="003C2E22" w:rsidRDefault="00D57564" w:rsidP="003C2E22">
      <w:pPr>
        <w:jc w:val="both"/>
      </w:pPr>
      <w:r>
        <w:t xml:space="preserve">Inden den mundtlige forhandling bør det overvejes, om </w:t>
      </w:r>
      <w:r w:rsidR="00505E6B">
        <w:t>d</w:t>
      </w:r>
      <w:r w:rsidR="002122E1">
        <w:t>en procedureansvarl</w:t>
      </w:r>
      <w:r w:rsidR="002122E1">
        <w:t>i</w:t>
      </w:r>
      <w:r w:rsidR="002122E1">
        <w:t>ge</w:t>
      </w:r>
      <w:r>
        <w:t xml:space="preserve"> skal have en ”intern generalprøve” på proceduren foran et eller flere me</w:t>
      </w:r>
      <w:r>
        <w:t>d</w:t>
      </w:r>
      <w:r>
        <w:t xml:space="preserve">lemmer af styregruppen. I givet fald skal der også reserveres tid hertil.  </w:t>
      </w:r>
      <w:r w:rsidR="00AF5386" w:rsidRPr="003C2E22">
        <w:t xml:space="preserve"> </w:t>
      </w:r>
    </w:p>
    <w:p w:rsidR="00AF5386" w:rsidRDefault="00AF5386" w:rsidP="00AF5386">
      <w:pPr>
        <w:jc w:val="both"/>
      </w:pPr>
    </w:p>
    <w:p w:rsidR="00AF5386" w:rsidRDefault="00AF5386" w:rsidP="00AF5386">
      <w:pPr>
        <w:jc w:val="both"/>
        <w:rPr>
          <w:b/>
        </w:rPr>
      </w:pPr>
      <w:r>
        <w:rPr>
          <w:b/>
        </w:rPr>
        <w:t>Konkurrenceankenævnets kendelse</w:t>
      </w:r>
    </w:p>
    <w:p w:rsidR="00AF5386" w:rsidRDefault="00AF5386" w:rsidP="00AF5386">
      <w:pPr>
        <w:jc w:val="both"/>
      </w:pPr>
      <w:r>
        <w:rPr>
          <w:u w:val="single"/>
        </w:rPr>
        <w:t>Forinden</w:t>
      </w:r>
      <w:r>
        <w:t xml:space="preserve"> ankenævnets kendelse i sagen</w:t>
      </w:r>
      <w:r w:rsidR="003C2E22">
        <w:t>,</w:t>
      </w:r>
      <w:r>
        <w:t xml:space="preserve"> skal </w:t>
      </w:r>
      <w:r w:rsidR="00FE7F00">
        <w:t xml:space="preserve">centret </w:t>
      </w:r>
      <w:r>
        <w:t>orientere KOM med he</w:t>
      </w:r>
      <w:r>
        <w:t>n</w:t>
      </w:r>
      <w:r>
        <w:t>blik på, at KOM sammen med det pågældende center</w:t>
      </w:r>
      <w:r w:rsidR="003C2E22">
        <w:t xml:space="preserve"> (og med inddragelse af </w:t>
      </w:r>
      <w:r w:rsidR="002122E1">
        <w:t>den procedureansvarlige</w:t>
      </w:r>
      <w:r w:rsidR="003C2E22">
        <w:t xml:space="preserve">) </w:t>
      </w:r>
      <w:r>
        <w:t>kan lave presseberedskab.</w:t>
      </w:r>
    </w:p>
    <w:p w:rsidR="00AF5386" w:rsidRDefault="00AF5386" w:rsidP="00AF5386">
      <w:pPr>
        <w:jc w:val="both"/>
      </w:pPr>
    </w:p>
    <w:p w:rsidR="00AF5386" w:rsidRDefault="00AF5386" w:rsidP="00AF5386">
      <w:pPr>
        <w:jc w:val="both"/>
      </w:pPr>
      <w:r>
        <w:rPr>
          <w:u w:val="single"/>
        </w:rPr>
        <w:t>Når</w:t>
      </w:r>
      <w:r>
        <w:t xml:space="preserve"> ankenævnet har afsagt kendelse, skal </w:t>
      </w:r>
      <w:r w:rsidR="0075562D">
        <w:t>cent</w:t>
      </w:r>
      <w:r w:rsidR="00505E6B">
        <w:t>e</w:t>
      </w:r>
      <w:r w:rsidR="0075562D">
        <w:t>ret</w:t>
      </w:r>
      <w:r>
        <w:t>:</w:t>
      </w:r>
    </w:p>
    <w:p w:rsidR="00AF5386" w:rsidRDefault="00AF5386" w:rsidP="00AF5386">
      <w:pPr>
        <w:jc w:val="both"/>
      </w:pPr>
    </w:p>
    <w:p w:rsidR="00AF5386" w:rsidRDefault="00AF5386" w:rsidP="00AF5386">
      <w:pPr>
        <w:numPr>
          <w:ilvl w:val="1"/>
          <w:numId w:val="29"/>
        </w:numPr>
        <w:jc w:val="both"/>
      </w:pPr>
      <w:r>
        <w:t>Opdatere markeringen af anken på afgørelsen</w:t>
      </w:r>
      <w:r w:rsidR="002063FE">
        <w:t xml:space="preserve"> på hjemmesiden</w:t>
      </w:r>
      <w:r>
        <w:t xml:space="preserve">, </w:t>
      </w:r>
    </w:p>
    <w:p w:rsidR="0075562D" w:rsidRDefault="003C2E22" w:rsidP="0075562D">
      <w:pPr>
        <w:numPr>
          <w:ilvl w:val="1"/>
          <w:numId w:val="29"/>
        </w:numPr>
        <w:jc w:val="both"/>
      </w:pPr>
      <w:r>
        <w:t xml:space="preserve">Lave </w:t>
      </w:r>
      <w:r w:rsidR="00AF5386">
        <w:t>et link til ankenævnets kendelse ud for den pågældende afg</w:t>
      </w:r>
      <w:r w:rsidR="00AF5386">
        <w:t>ø</w:t>
      </w:r>
      <w:r w:rsidR="00AF5386">
        <w:t>relse</w:t>
      </w:r>
      <w:r w:rsidR="00E96210">
        <w:t xml:space="preserve"> samt anføre, hvis sagen er indbragt for domstolene.</w:t>
      </w:r>
      <w:r w:rsidR="00AF5386">
        <w:t>.</w:t>
      </w:r>
    </w:p>
    <w:p w:rsidR="00E96210" w:rsidRDefault="00E96210" w:rsidP="0075562D">
      <w:pPr>
        <w:numPr>
          <w:ilvl w:val="1"/>
          <w:numId w:val="29"/>
        </w:numPr>
        <w:jc w:val="both"/>
      </w:pPr>
      <w:r>
        <w:t>Lave en artikel til ECN-Brief om kendelsen (hvis den ikke indbri</w:t>
      </w:r>
      <w:r>
        <w:t>n</w:t>
      </w:r>
      <w:r>
        <w:t>ges for domstolene).</w:t>
      </w:r>
    </w:p>
    <w:p w:rsidR="0075562D" w:rsidRDefault="0075562D" w:rsidP="0075562D">
      <w:pPr>
        <w:ind w:left="1080"/>
        <w:jc w:val="both"/>
      </w:pPr>
    </w:p>
    <w:p w:rsidR="0075562D" w:rsidRDefault="002122E1" w:rsidP="0075562D">
      <w:pPr>
        <w:jc w:val="both"/>
      </w:pPr>
      <w:r>
        <w:t>Den procedureansvarlige</w:t>
      </w:r>
      <w:r w:rsidR="003C2E22">
        <w:t xml:space="preserve"> </w:t>
      </w:r>
      <w:r w:rsidR="0075562D">
        <w:t xml:space="preserve">skal: </w:t>
      </w:r>
    </w:p>
    <w:p w:rsidR="0075562D" w:rsidRDefault="0075562D" w:rsidP="0075562D">
      <w:pPr>
        <w:jc w:val="both"/>
      </w:pPr>
    </w:p>
    <w:p w:rsidR="00AF5386" w:rsidRDefault="00071A19" w:rsidP="0075562D">
      <w:pPr>
        <w:pStyle w:val="Listeafsnit"/>
        <w:numPr>
          <w:ilvl w:val="0"/>
          <w:numId w:val="32"/>
        </w:numPr>
        <w:ind w:left="360"/>
        <w:jc w:val="both"/>
      </w:pPr>
      <w:r>
        <w:lastRenderedPageBreak/>
        <w:t xml:space="preserve">Lave bidrag </w:t>
      </w:r>
      <w:r w:rsidR="00AF5386">
        <w:t xml:space="preserve">til direktørberetning, </w:t>
      </w:r>
      <w:r>
        <w:t>til det førstkommende Konkurrenceråd</w:t>
      </w:r>
      <w:r>
        <w:t>s</w:t>
      </w:r>
      <w:r>
        <w:t>møde. Bidraget (når det er godkendt) sendes til forkontoret.</w:t>
      </w:r>
    </w:p>
    <w:p w:rsidR="00AF5386" w:rsidRDefault="0075562D" w:rsidP="0075562D">
      <w:pPr>
        <w:pStyle w:val="Listeafsnit"/>
        <w:numPr>
          <w:ilvl w:val="0"/>
          <w:numId w:val="32"/>
        </w:numPr>
        <w:ind w:left="360"/>
        <w:jc w:val="both"/>
      </w:pPr>
      <w:r>
        <w:t>O</w:t>
      </w:r>
      <w:r w:rsidR="00AF5386">
        <w:t xml:space="preserve">rientere om sagen på førstkommende konkurrencemøde. </w:t>
      </w:r>
    </w:p>
    <w:p w:rsidR="00AF5386" w:rsidRDefault="00AF5386" w:rsidP="0075562D">
      <w:pPr>
        <w:jc w:val="both"/>
        <w:rPr>
          <w:b/>
          <w:sz w:val="22"/>
          <w:szCs w:val="22"/>
        </w:rPr>
      </w:pPr>
    </w:p>
    <w:sectPr w:rsidR="00AF5386" w:rsidSect="00D77AF1">
      <w:footerReference w:type="default" r:id="rId10"/>
      <w:headerReference w:type="first" r:id="rId11"/>
      <w:pgSz w:w="11906" w:h="16838"/>
      <w:pgMar w:top="2127" w:right="3117"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A4" w:rsidRDefault="002F04A4" w:rsidP="00291615">
      <w:pPr>
        <w:spacing w:line="240" w:lineRule="auto"/>
      </w:pPr>
      <w:r>
        <w:separator/>
      </w:r>
    </w:p>
  </w:endnote>
  <w:endnote w:type="continuationSeparator" w:id="0">
    <w:p w:rsidR="002F04A4" w:rsidRDefault="002F04A4" w:rsidP="0029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2C" w:rsidRDefault="0089372C">
    <w:pPr>
      <w:pStyle w:val="Sidefod"/>
      <w:jc w:val="right"/>
    </w:pPr>
    <w:r>
      <w:tab/>
    </w:r>
    <w:r>
      <w:tab/>
    </w:r>
    <w:sdt>
      <w:sdtPr>
        <w:id w:val="363252151"/>
        <w:docPartObj>
          <w:docPartGallery w:val="Page Numbers (Bottom of Page)"/>
          <w:docPartUnique/>
        </w:docPartObj>
      </w:sdtPr>
      <w:sdtEndPr/>
      <w:sdtContent>
        <w:r>
          <w:fldChar w:fldCharType="begin"/>
        </w:r>
        <w:r>
          <w:instrText>PAGE   \* MERGEFORMAT</w:instrText>
        </w:r>
        <w:r>
          <w:fldChar w:fldCharType="separate"/>
        </w:r>
        <w:r w:rsidR="0046566C">
          <w:rPr>
            <w:noProof/>
          </w:rPr>
          <w:t>2</w:t>
        </w:r>
        <w:r>
          <w:fldChar w:fldCharType="end"/>
        </w:r>
      </w:sdtContent>
    </w:sdt>
  </w:p>
  <w:p w:rsidR="0089372C" w:rsidRDefault="0089372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A4" w:rsidRDefault="002F04A4" w:rsidP="00291615">
      <w:pPr>
        <w:spacing w:line="240" w:lineRule="auto"/>
      </w:pPr>
      <w:r>
        <w:separator/>
      </w:r>
    </w:p>
  </w:footnote>
  <w:footnote w:type="continuationSeparator" w:id="0">
    <w:p w:rsidR="002F04A4" w:rsidRDefault="002F04A4" w:rsidP="002916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2C" w:rsidRDefault="0089372C">
    <w:pPr>
      <w:pStyle w:val="Sidehoved"/>
    </w:pPr>
    <w:r>
      <w:rPr>
        <w:noProof/>
        <w:lang w:eastAsia="da-DK"/>
      </w:rPr>
      <w:drawing>
        <wp:anchor distT="0" distB="0" distL="114300" distR="114300" simplePos="0" relativeHeight="251662336" behindDoc="1" locked="0" layoutInCell="1" allowOverlap="1" wp14:anchorId="06EA3C58" wp14:editId="6319A57A">
          <wp:simplePos x="0" y="0"/>
          <wp:positionH relativeFrom="column">
            <wp:posOffset>1325245</wp:posOffset>
          </wp:positionH>
          <wp:positionV relativeFrom="paragraph">
            <wp:posOffset>-1116330</wp:posOffset>
          </wp:positionV>
          <wp:extent cx="3448685" cy="676275"/>
          <wp:effectExtent l="0" t="0" r="0" b="0"/>
          <wp:wrapNone/>
          <wp:docPr id="3" name="Billede 3"/>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68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1312" behindDoc="0" locked="1" layoutInCell="0" allowOverlap="1" wp14:anchorId="69EE2B49" wp14:editId="70FF73EC">
          <wp:simplePos x="0" y="0"/>
          <wp:positionH relativeFrom="margin">
            <wp:posOffset>16510</wp:posOffset>
          </wp:positionH>
          <wp:positionV relativeFrom="page">
            <wp:posOffset>1607820</wp:posOffset>
          </wp:positionV>
          <wp:extent cx="638175" cy="114300"/>
          <wp:effectExtent l="0" t="0" r="9525" b="0"/>
          <wp:wrapTopAndBottom/>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11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D93"/>
    <w:multiLevelType w:val="hybridMultilevel"/>
    <w:tmpl w:val="21E47E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04160041"/>
    <w:multiLevelType w:val="hybridMultilevel"/>
    <w:tmpl w:val="CC9E7F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A796A50"/>
    <w:multiLevelType w:val="hybridMultilevel"/>
    <w:tmpl w:val="A0682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2707DF7"/>
    <w:multiLevelType w:val="hybridMultilevel"/>
    <w:tmpl w:val="81864F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5010C59"/>
    <w:multiLevelType w:val="hybridMultilevel"/>
    <w:tmpl w:val="88885FAE"/>
    <w:lvl w:ilvl="0" w:tplc="BAFE16A6">
      <w:start w:val="1"/>
      <w:numFmt w:val="decimal"/>
      <w:lvlText w:val="%1)"/>
      <w:lvlJc w:val="left"/>
      <w:pPr>
        <w:ind w:left="836" w:hanging="360"/>
      </w:pPr>
      <w:rPr>
        <w:rFonts w:hint="default"/>
      </w:rPr>
    </w:lvl>
    <w:lvl w:ilvl="1" w:tplc="F3E2A5A2">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A33E0F"/>
    <w:multiLevelType w:val="hybridMultilevel"/>
    <w:tmpl w:val="39F4CCA8"/>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nsid w:val="1AA979B8"/>
    <w:multiLevelType w:val="hybridMultilevel"/>
    <w:tmpl w:val="B84CCF7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2BF4030"/>
    <w:multiLevelType w:val="hybridMultilevel"/>
    <w:tmpl w:val="4AB09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7354B8B"/>
    <w:multiLevelType w:val="hybridMultilevel"/>
    <w:tmpl w:val="A10CB1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8AF74C3"/>
    <w:multiLevelType w:val="hybridMultilevel"/>
    <w:tmpl w:val="59CC5A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D2F139F"/>
    <w:multiLevelType w:val="hybridMultilevel"/>
    <w:tmpl w:val="C3FABE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1A25770"/>
    <w:multiLevelType w:val="hybridMultilevel"/>
    <w:tmpl w:val="743227F4"/>
    <w:lvl w:ilvl="0" w:tplc="5A40D6DC">
      <w:start w:val="1"/>
      <w:numFmt w:val="decimal"/>
      <w:lvlText w:val="%1)"/>
      <w:lvlJc w:val="left"/>
      <w:pPr>
        <w:ind w:left="8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1F58CB"/>
    <w:multiLevelType w:val="hybridMultilevel"/>
    <w:tmpl w:val="6BB8CF54"/>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3">
    <w:nsid w:val="34F72985"/>
    <w:multiLevelType w:val="hybridMultilevel"/>
    <w:tmpl w:val="266AFA8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nsid w:val="35886418"/>
    <w:multiLevelType w:val="hybridMultilevel"/>
    <w:tmpl w:val="8AE63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6423838"/>
    <w:multiLevelType w:val="hybridMultilevel"/>
    <w:tmpl w:val="D5AA8A70"/>
    <w:lvl w:ilvl="0" w:tplc="1E3AE560">
      <w:start w:val="1"/>
      <w:numFmt w:val="bullet"/>
      <w:lvlText w:val=""/>
      <w:lvlJc w:val="left"/>
      <w:pPr>
        <w:tabs>
          <w:tab w:val="num" w:pos="360"/>
        </w:tabs>
        <w:ind w:left="360" w:hanging="360"/>
      </w:pPr>
      <w:rPr>
        <w:rFonts w:ascii="Symbol" w:hAnsi="Symbol" w:hint="default"/>
        <w:u w:color="000000"/>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6">
    <w:nsid w:val="365339F2"/>
    <w:multiLevelType w:val="hybridMultilevel"/>
    <w:tmpl w:val="66125E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nsid w:val="43781FE3"/>
    <w:multiLevelType w:val="hybridMultilevel"/>
    <w:tmpl w:val="DF9C044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8">
    <w:nsid w:val="4F5247DF"/>
    <w:multiLevelType w:val="hybridMultilevel"/>
    <w:tmpl w:val="D3F26656"/>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nsid w:val="533C668C"/>
    <w:multiLevelType w:val="hybridMultilevel"/>
    <w:tmpl w:val="40EA9E6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nsid w:val="55352D2F"/>
    <w:multiLevelType w:val="hybridMultilevel"/>
    <w:tmpl w:val="56CC3992"/>
    <w:lvl w:ilvl="0" w:tplc="7ACC764C">
      <w:start w:val="1"/>
      <w:numFmt w:val="decimal"/>
      <w:lvlText w:val="%1)"/>
      <w:lvlJc w:val="left"/>
      <w:pPr>
        <w:ind w:left="836" w:hanging="360"/>
      </w:pPr>
      <w:rPr>
        <w:rFonts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1">
    <w:nsid w:val="5C1F52CE"/>
    <w:multiLevelType w:val="hybridMultilevel"/>
    <w:tmpl w:val="EF9A78AA"/>
    <w:lvl w:ilvl="0" w:tplc="9A423CF4">
      <w:start w:val="1"/>
      <w:numFmt w:val="bullet"/>
      <w:lvlText w:val="•"/>
      <w:lvlJc w:val="left"/>
      <w:pPr>
        <w:tabs>
          <w:tab w:val="num" w:pos="720"/>
        </w:tabs>
        <w:ind w:left="720" w:hanging="360"/>
      </w:pPr>
      <w:rPr>
        <w:rFonts w:ascii="Times New Roman" w:hAnsi="Times New Roman" w:hint="default"/>
      </w:rPr>
    </w:lvl>
    <w:lvl w:ilvl="1" w:tplc="EE164CF6">
      <w:start w:val="1295"/>
      <w:numFmt w:val="bullet"/>
      <w:lvlText w:val="−"/>
      <w:lvlJc w:val="left"/>
      <w:pPr>
        <w:tabs>
          <w:tab w:val="num" w:pos="1440"/>
        </w:tabs>
        <w:ind w:left="1440" w:hanging="360"/>
      </w:pPr>
      <w:rPr>
        <w:rFonts w:ascii="Verdana" w:hAnsi="Verdana" w:hint="default"/>
      </w:rPr>
    </w:lvl>
    <w:lvl w:ilvl="2" w:tplc="F1EEF43C" w:tentative="1">
      <w:start w:val="1"/>
      <w:numFmt w:val="bullet"/>
      <w:lvlText w:val="•"/>
      <w:lvlJc w:val="left"/>
      <w:pPr>
        <w:tabs>
          <w:tab w:val="num" w:pos="2160"/>
        </w:tabs>
        <w:ind w:left="2160" w:hanging="360"/>
      </w:pPr>
      <w:rPr>
        <w:rFonts w:ascii="Times New Roman" w:hAnsi="Times New Roman" w:hint="default"/>
      </w:rPr>
    </w:lvl>
    <w:lvl w:ilvl="3" w:tplc="614E5856" w:tentative="1">
      <w:start w:val="1"/>
      <w:numFmt w:val="bullet"/>
      <w:lvlText w:val="•"/>
      <w:lvlJc w:val="left"/>
      <w:pPr>
        <w:tabs>
          <w:tab w:val="num" w:pos="2880"/>
        </w:tabs>
        <w:ind w:left="2880" w:hanging="360"/>
      </w:pPr>
      <w:rPr>
        <w:rFonts w:ascii="Times New Roman" w:hAnsi="Times New Roman" w:hint="default"/>
      </w:rPr>
    </w:lvl>
    <w:lvl w:ilvl="4" w:tplc="40B8227A" w:tentative="1">
      <w:start w:val="1"/>
      <w:numFmt w:val="bullet"/>
      <w:lvlText w:val="•"/>
      <w:lvlJc w:val="left"/>
      <w:pPr>
        <w:tabs>
          <w:tab w:val="num" w:pos="3600"/>
        </w:tabs>
        <w:ind w:left="3600" w:hanging="360"/>
      </w:pPr>
      <w:rPr>
        <w:rFonts w:ascii="Times New Roman" w:hAnsi="Times New Roman" w:hint="default"/>
      </w:rPr>
    </w:lvl>
    <w:lvl w:ilvl="5" w:tplc="10423AF0" w:tentative="1">
      <w:start w:val="1"/>
      <w:numFmt w:val="bullet"/>
      <w:lvlText w:val="•"/>
      <w:lvlJc w:val="left"/>
      <w:pPr>
        <w:tabs>
          <w:tab w:val="num" w:pos="4320"/>
        </w:tabs>
        <w:ind w:left="4320" w:hanging="360"/>
      </w:pPr>
      <w:rPr>
        <w:rFonts w:ascii="Times New Roman" w:hAnsi="Times New Roman" w:hint="default"/>
      </w:rPr>
    </w:lvl>
    <w:lvl w:ilvl="6" w:tplc="8A7E7C94" w:tentative="1">
      <w:start w:val="1"/>
      <w:numFmt w:val="bullet"/>
      <w:lvlText w:val="•"/>
      <w:lvlJc w:val="left"/>
      <w:pPr>
        <w:tabs>
          <w:tab w:val="num" w:pos="5040"/>
        </w:tabs>
        <w:ind w:left="5040" w:hanging="360"/>
      </w:pPr>
      <w:rPr>
        <w:rFonts w:ascii="Times New Roman" w:hAnsi="Times New Roman" w:hint="default"/>
      </w:rPr>
    </w:lvl>
    <w:lvl w:ilvl="7" w:tplc="D414B114" w:tentative="1">
      <w:start w:val="1"/>
      <w:numFmt w:val="bullet"/>
      <w:lvlText w:val="•"/>
      <w:lvlJc w:val="left"/>
      <w:pPr>
        <w:tabs>
          <w:tab w:val="num" w:pos="5760"/>
        </w:tabs>
        <w:ind w:left="5760" w:hanging="360"/>
      </w:pPr>
      <w:rPr>
        <w:rFonts w:ascii="Times New Roman" w:hAnsi="Times New Roman" w:hint="default"/>
      </w:rPr>
    </w:lvl>
    <w:lvl w:ilvl="8" w:tplc="CB7840A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D1B3057"/>
    <w:multiLevelType w:val="hybridMultilevel"/>
    <w:tmpl w:val="92821A96"/>
    <w:lvl w:ilvl="0" w:tplc="1E3AE560">
      <w:start w:val="1"/>
      <w:numFmt w:val="bullet"/>
      <w:lvlText w:val=""/>
      <w:lvlJc w:val="left"/>
      <w:pPr>
        <w:tabs>
          <w:tab w:val="num" w:pos="360"/>
        </w:tabs>
        <w:ind w:left="360" w:hanging="360"/>
      </w:pPr>
      <w:rPr>
        <w:rFonts w:ascii="Symbol" w:hAnsi="Symbol" w:hint="default"/>
        <w:u w:color="000000"/>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23">
    <w:nsid w:val="633F4138"/>
    <w:multiLevelType w:val="hybridMultilevel"/>
    <w:tmpl w:val="73C6D0A8"/>
    <w:lvl w:ilvl="0" w:tplc="04060001">
      <w:start w:val="1"/>
      <w:numFmt w:val="bullet"/>
      <w:lvlText w:val=""/>
      <w:lvlJc w:val="left"/>
      <w:pPr>
        <w:ind w:left="2760" w:hanging="360"/>
      </w:pPr>
      <w:rPr>
        <w:rFonts w:ascii="Symbol" w:hAnsi="Symbol" w:hint="default"/>
      </w:rPr>
    </w:lvl>
    <w:lvl w:ilvl="1" w:tplc="04060003">
      <w:start w:val="1"/>
      <w:numFmt w:val="bullet"/>
      <w:lvlText w:val="o"/>
      <w:lvlJc w:val="left"/>
      <w:pPr>
        <w:ind w:left="3480" w:hanging="360"/>
      </w:pPr>
      <w:rPr>
        <w:rFonts w:ascii="Courier New" w:hAnsi="Courier New" w:cs="Courier New" w:hint="default"/>
      </w:rPr>
    </w:lvl>
    <w:lvl w:ilvl="2" w:tplc="04060005" w:tentative="1">
      <w:start w:val="1"/>
      <w:numFmt w:val="bullet"/>
      <w:lvlText w:val=""/>
      <w:lvlJc w:val="left"/>
      <w:pPr>
        <w:ind w:left="4200" w:hanging="360"/>
      </w:pPr>
      <w:rPr>
        <w:rFonts w:ascii="Wingdings" w:hAnsi="Wingdings" w:hint="default"/>
      </w:rPr>
    </w:lvl>
    <w:lvl w:ilvl="3" w:tplc="04060001" w:tentative="1">
      <w:start w:val="1"/>
      <w:numFmt w:val="bullet"/>
      <w:lvlText w:val=""/>
      <w:lvlJc w:val="left"/>
      <w:pPr>
        <w:ind w:left="4920" w:hanging="360"/>
      </w:pPr>
      <w:rPr>
        <w:rFonts w:ascii="Symbol" w:hAnsi="Symbol" w:hint="default"/>
      </w:rPr>
    </w:lvl>
    <w:lvl w:ilvl="4" w:tplc="04060003" w:tentative="1">
      <w:start w:val="1"/>
      <w:numFmt w:val="bullet"/>
      <w:lvlText w:val="o"/>
      <w:lvlJc w:val="left"/>
      <w:pPr>
        <w:ind w:left="5640" w:hanging="360"/>
      </w:pPr>
      <w:rPr>
        <w:rFonts w:ascii="Courier New" w:hAnsi="Courier New" w:cs="Courier New" w:hint="default"/>
      </w:rPr>
    </w:lvl>
    <w:lvl w:ilvl="5" w:tplc="04060005" w:tentative="1">
      <w:start w:val="1"/>
      <w:numFmt w:val="bullet"/>
      <w:lvlText w:val=""/>
      <w:lvlJc w:val="left"/>
      <w:pPr>
        <w:ind w:left="6360" w:hanging="360"/>
      </w:pPr>
      <w:rPr>
        <w:rFonts w:ascii="Wingdings" w:hAnsi="Wingdings" w:hint="default"/>
      </w:rPr>
    </w:lvl>
    <w:lvl w:ilvl="6" w:tplc="04060001" w:tentative="1">
      <w:start w:val="1"/>
      <w:numFmt w:val="bullet"/>
      <w:lvlText w:val=""/>
      <w:lvlJc w:val="left"/>
      <w:pPr>
        <w:ind w:left="7080" w:hanging="360"/>
      </w:pPr>
      <w:rPr>
        <w:rFonts w:ascii="Symbol" w:hAnsi="Symbol" w:hint="default"/>
      </w:rPr>
    </w:lvl>
    <w:lvl w:ilvl="7" w:tplc="04060003" w:tentative="1">
      <w:start w:val="1"/>
      <w:numFmt w:val="bullet"/>
      <w:lvlText w:val="o"/>
      <w:lvlJc w:val="left"/>
      <w:pPr>
        <w:ind w:left="7800" w:hanging="360"/>
      </w:pPr>
      <w:rPr>
        <w:rFonts w:ascii="Courier New" w:hAnsi="Courier New" w:cs="Courier New" w:hint="default"/>
      </w:rPr>
    </w:lvl>
    <w:lvl w:ilvl="8" w:tplc="04060005" w:tentative="1">
      <w:start w:val="1"/>
      <w:numFmt w:val="bullet"/>
      <w:lvlText w:val=""/>
      <w:lvlJc w:val="left"/>
      <w:pPr>
        <w:ind w:left="8520" w:hanging="360"/>
      </w:pPr>
      <w:rPr>
        <w:rFonts w:ascii="Wingdings" w:hAnsi="Wingdings" w:hint="default"/>
      </w:rPr>
    </w:lvl>
  </w:abstractNum>
  <w:abstractNum w:abstractNumId="24">
    <w:nsid w:val="639512AD"/>
    <w:multiLevelType w:val="hybridMultilevel"/>
    <w:tmpl w:val="4746CB66"/>
    <w:lvl w:ilvl="0" w:tplc="08090011">
      <w:start w:val="1"/>
      <w:numFmt w:val="decimal"/>
      <w:lvlText w:val="%1)"/>
      <w:lvlJc w:val="left"/>
      <w:pPr>
        <w:ind w:left="836" w:hanging="360"/>
      </w:pPr>
      <w:rPr>
        <w:rFonts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5">
    <w:nsid w:val="64AB39F2"/>
    <w:multiLevelType w:val="hybridMultilevel"/>
    <w:tmpl w:val="92C40D74"/>
    <w:lvl w:ilvl="0" w:tplc="DA765EDE">
      <w:start w:val="1"/>
      <w:numFmt w:val="decimal"/>
      <w:lvlText w:val="%1)"/>
      <w:lvlJc w:val="left"/>
      <w:pPr>
        <w:ind w:left="836" w:hanging="360"/>
      </w:pPr>
      <w:rPr>
        <w:rFonts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6">
    <w:nsid w:val="6A82594D"/>
    <w:multiLevelType w:val="hybridMultilevel"/>
    <w:tmpl w:val="5C3A814A"/>
    <w:lvl w:ilvl="0" w:tplc="1E3AE560">
      <w:start w:val="1"/>
      <w:numFmt w:val="bullet"/>
      <w:lvlText w:val=""/>
      <w:lvlJc w:val="left"/>
      <w:pPr>
        <w:tabs>
          <w:tab w:val="num" w:pos="360"/>
        </w:tabs>
        <w:ind w:left="360" w:hanging="360"/>
      </w:pPr>
      <w:rPr>
        <w:rFonts w:ascii="Symbol" w:hAnsi="Symbol" w:hint="default"/>
        <w:u w:color="000000"/>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27">
    <w:nsid w:val="6E381E8D"/>
    <w:multiLevelType w:val="hybridMultilevel"/>
    <w:tmpl w:val="5A32BF92"/>
    <w:lvl w:ilvl="0" w:tplc="08090011">
      <w:start w:val="1"/>
      <w:numFmt w:val="decimal"/>
      <w:lvlText w:val="%1)"/>
      <w:lvlJc w:val="left"/>
      <w:pPr>
        <w:ind w:left="836" w:hanging="360"/>
      </w:pPr>
      <w:rPr>
        <w:rFonts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8">
    <w:nsid w:val="714E1201"/>
    <w:multiLevelType w:val="hybridMultilevel"/>
    <w:tmpl w:val="D0304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2282611"/>
    <w:multiLevelType w:val="hybridMultilevel"/>
    <w:tmpl w:val="04BE448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7531365A"/>
    <w:multiLevelType w:val="hybridMultilevel"/>
    <w:tmpl w:val="D360ADD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79D36B43"/>
    <w:multiLevelType w:val="hybridMultilevel"/>
    <w:tmpl w:val="4E00B848"/>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1"/>
  </w:num>
  <w:num w:numId="4">
    <w:abstractNumId w:val="19"/>
  </w:num>
  <w:num w:numId="5">
    <w:abstractNumId w:val="18"/>
  </w:num>
  <w:num w:numId="6">
    <w:abstractNumId w:val="23"/>
  </w:num>
  <w:num w:numId="7">
    <w:abstractNumId w:val="21"/>
  </w:num>
  <w:num w:numId="8">
    <w:abstractNumId w:val="24"/>
  </w:num>
  <w:num w:numId="9">
    <w:abstractNumId w:val="20"/>
  </w:num>
  <w:num w:numId="10">
    <w:abstractNumId w:val="25"/>
  </w:num>
  <w:num w:numId="11">
    <w:abstractNumId w:val="27"/>
  </w:num>
  <w:num w:numId="12">
    <w:abstractNumId w:val="4"/>
  </w:num>
  <w:num w:numId="13">
    <w:abstractNumId w:val="11"/>
  </w:num>
  <w:num w:numId="14">
    <w:abstractNumId w:val="7"/>
  </w:num>
  <w:num w:numId="15">
    <w:abstractNumId w:val="28"/>
  </w:num>
  <w:num w:numId="16">
    <w:abstractNumId w:val="2"/>
  </w:num>
  <w:num w:numId="17">
    <w:abstractNumId w:val="30"/>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9"/>
  </w:num>
  <w:num w:numId="22">
    <w:abstractNumId w:val="6"/>
  </w:num>
  <w:num w:numId="23">
    <w:abstractNumId w:val="13"/>
  </w:num>
  <w:num w:numId="24">
    <w:abstractNumId w:val="16"/>
  </w:num>
  <w:num w:numId="25">
    <w:abstractNumId w:val="0"/>
  </w:num>
  <w:num w:numId="26">
    <w:abstractNumId w:val="31"/>
  </w:num>
  <w:num w:numId="27">
    <w:abstractNumId w:val="22"/>
  </w:num>
  <w:num w:numId="28">
    <w:abstractNumId w:val="26"/>
  </w:num>
  <w:num w:numId="29">
    <w:abstractNumId w:val="15"/>
  </w:num>
  <w:num w:numId="30">
    <w:abstractNumId w:val="0"/>
  </w:num>
  <w:num w:numId="31">
    <w:abstractNumId w:val="9"/>
  </w:num>
  <w:num w:numId="32">
    <w:abstractNumId w:val="1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15"/>
    <w:rsid w:val="00002B43"/>
    <w:rsid w:val="000309B4"/>
    <w:rsid w:val="00032C59"/>
    <w:rsid w:val="00071A19"/>
    <w:rsid w:val="00082072"/>
    <w:rsid w:val="00082AEF"/>
    <w:rsid w:val="0008620C"/>
    <w:rsid w:val="000B00FA"/>
    <w:rsid w:val="000B7718"/>
    <w:rsid w:val="000E05D8"/>
    <w:rsid w:val="000F4B42"/>
    <w:rsid w:val="00120E6A"/>
    <w:rsid w:val="00133D6A"/>
    <w:rsid w:val="00133E21"/>
    <w:rsid w:val="00154286"/>
    <w:rsid w:val="00155F9E"/>
    <w:rsid w:val="00160189"/>
    <w:rsid w:val="00173D4E"/>
    <w:rsid w:val="00175DF4"/>
    <w:rsid w:val="001A3E36"/>
    <w:rsid w:val="001A69F3"/>
    <w:rsid w:val="001B3EE6"/>
    <w:rsid w:val="001B4F75"/>
    <w:rsid w:val="001C03A0"/>
    <w:rsid w:val="001D34F5"/>
    <w:rsid w:val="001D35F3"/>
    <w:rsid w:val="001D5476"/>
    <w:rsid w:val="001E553E"/>
    <w:rsid w:val="001E64CC"/>
    <w:rsid w:val="001F45F7"/>
    <w:rsid w:val="002063FE"/>
    <w:rsid w:val="002122E1"/>
    <w:rsid w:val="00212C81"/>
    <w:rsid w:val="00216C7D"/>
    <w:rsid w:val="002323A2"/>
    <w:rsid w:val="002472E6"/>
    <w:rsid w:val="002653E1"/>
    <w:rsid w:val="00275C73"/>
    <w:rsid w:val="00291615"/>
    <w:rsid w:val="00292AFA"/>
    <w:rsid w:val="002B1962"/>
    <w:rsid w:val="002C740D"/>
    <w:rsid w:val="002C7641"/>
    <w:rsid w:val="002E4ADA"/>
    <w:rsid w:val="002F04A4"/>
    <w:rsid w:val="003060E5"/>
    <w:rsid w:val="00306358"/>
    <w:rsid w:val="0032142C"/>
    <w:rsid w:val="00323403"/>
    <w:rsid w:val="00337777"/>
    <w:rsid w:val="0034295E"/>
    <w:rsid w:val="00377EF2"/>
    <w:rsid w:val="00380779"/>
    <w:rsid w:val="00382C00"/>
    <w:rsid w:val="003A1F35"/>
    <w:rsid w:val="003C2E22"/>
    <w:rsid w:val="003D0256"/>
    <w:rsid w:val="003F6A45"/>
    <w:rsid w:val="00404121"/>
    <w:rsid w:val="00404FE1"/>
    <w:rsid w:val="004237F3"/>
    <w:rsid w:val="00426661"/>
    <w:rsid w:val="004300F0"/>
    <w:rsid w:val="00430EE8"/>
    <w:rsid w:val="004354A6"/>
    <w:rsid w:val="00450C82"/>
    <w:rsid w:val="00462653"/>
    <w:rsid w:val="0046566C"/>
    <w:rsid w:val="00474CA4"/>
    <w:rsid w:val="00475E70"/>
    <w:rsid w:val="004A1F29"/>
    <w:rsid w:val="004B40F9"/>
    <w:rsid w:val="004C6479"/>
    <w:rsid w:val="004D24B3"/>
    <w:rsid w:val="004E3611"/>
    <w:rsid w:val="004F2DFC"/>
    <w:rsid w:val="00504C2C"/>
    <w:rsid w:val="00505E6B"/>
    <w:rsid w:val="00514667"/>
    <w:rsid w:val="00547B59"/>
    <w:rsid w:val="005516C3"/>
    <w:rsid w:val="00555D32"/>
    <w:rsid w:val="005571D1"/>
    <w:rsid w:val="00562D67"/>
    <w:rsid w:val="00565794"/>
    <w:rsid w:val="00567EFD"/>
    <w:rsid w:val="00570161"/>
    <w:rsid w:val="005705D2"/>
    <w:rsid w:val="00573251"/>
    <w:rsid w:val="0059325A"/>
    <w:rsid w:val="005D253C"/>
    <w:rsid w:val="005E3086"/>
    <w:rsid w:val="005E5A92"/>
    <w:rsid w:val="005E78A9"/>
    <w:rsid w:val="005F35D9"/>
    <w:rsid w:val="00632ECF"/>
    <w:rsid w:val="006379EC"/>
    <w:rsid w:val="006427F3"/>
    <w:rsid w:val="00660585"/>
    <w:rsid w:val="00664744"/>
    <w:rsid w:val="00686596"/>
    <w:rsid w:val="00690EB6"/>
    <w:rsid w:val="0069230E"/>
    <w:rsid w:val="006B54DB"/>
    <w:rsid w:val="006D30FE"/>
    <w:rsid w:val="006F448B"/>
    <w:rsid w:val="007235C9"/>
    <w:rsid w:val="007374D9"/>
    <w:rsid w:val="0075562D"/>
    <w:rsid w:val="00763BA0"/>
    <w:rsid w:val="0076779F"/>
    <w:rsid w:val="00775FEE"/>
    <w:rsid w:val="0077742C"/>
    <w:rsid w:val="0077771B"/>
    <w:rsid w:val="00781627"/>
    <w:rsid w:val="00792AC6"/>
    <w:rsid w:val="007A6B43"/>
    <w:rsid w:val="007B148F"/>
    <w:rsid w:val="007B5F45"/>
    <w:rsid w:val="007D69A9"/>
    <w:rsid w:val="007E0748"/>
    <w:rsid w:val="008336B3"/>
    <w:rsid w:val="008376DD"/>
    <w:rsid w:val="00840960"/>
    <w:rsid w:val="00863C46"/>
    <w:rsid w:val="008756E1"/>
    <w:rsid w:val="0089372C"/>
    <w:rsid w:val="008A57DB"/>
    <w:rsid w:val="008C3295"/>
    <w:rsid w:val="008E0828"/>
    <w:rsid w:val="008F008A"/>
    <w:rsid w:val="00903B76"/>
    <w:rsid w:val="00912F07"/>
    <w:rsid w:val="0092062E"/>
    <w:rsid w:val="00925535"/>
    <w:rsid w:val="00945F2F"/>
    <w:rsid w:val="009715F1"/>
    <w:rsid w:val="009738B1"/>
    <w:rsid w:val="00980B5D"/>
    <w:rsid w:val="00982BCE"/>
    <w:rsid w:val="009B36C0"/>
    <w:rsid w:val="009B6F66"/>
    <w:rsid w:val="009C4F47"/>
    <w:rsid w:val="009C6122"/>
    <w:rsid w:val="009F13B1"/>
    <w:rsid w:val="00A135D7"/>
    <w:rsid w:val="00A16305"/>
    <w:rsid w:val="00A17852"/>
    <w:rsid w:val="00A2119B"/>
    <w:rsid w:val="00A30DB8"/>
    <w:rsid w:val="00A37879"/>
    <w:rsid w:val="00A37D09"/>
    <w:rsid w:val="00A42AA4"/>
    <w:rsid w:val="00A55D7D"/>
    <w:rsid w:val="00A63F87"/>
    <w:rsid w:val="00A66F6E"/>
    <w:rsid w:val="00A720E9"/>
    <w:rsid w:val="00A85313"/>
    <w:rsid w:val="00A91D35"/>
    <w:rsid w:val="00AA7F86"/>
    <w:rsid w:val="00AB757D"/>
    <w:rsid w:val="00AC12EF"/>
    <w:rsid w:val="00AC7CEB"/>
    <w:rsid w:val="00AD3DE8"/>
    <w:rsid w:val="00AE3AA6"/>
    <w:rsid w:val="00AE61E0"/>
    <w:rsid w:val="00AE77A5"/>
    <w:rsid w:val="00AF5386"/>
    <w:rsid w:val="00AF5E7B"/>
    <w:rsid w:val="00AF750C"/>
    <w:rsid w:val="00B0018F"/>
    <w:rsid w:val="00B14F7C"/>
    <w:rsid w:val="00B24391"/>
    <w:rsid w:val="00B3641F"/>
    <w:rsid w:val="00B50209"/>
    <w:rsid w:val="00B65695"/>
    <w:rsid w:val="00B73573"/>
    <w:rsid w:val="00B840AC"/>
    <w:rsid w:val="00BB5E75"/>
    <w:rsid w:val="00BC1018"/>
    <w:rsid w:val="00BD0458"/>
    <w:rsid w:val="00BF469C"/>
    <w:rsid w:val="00C16520"/>
    <w:rsid w:val="00C169BD"/>
    <w:rsid w:val="00C40423"/>
    <w:rsid w:val="00C52697"/>
    <w:rsid w:val="00CA1B3B"/>
    <w:rsid w:val="00CA3FAC"/>
    <w:rsid w:val="00CB1D6D"/>
    <w:rsid w:val="00CC38DD"/>
    <w:rsid w:val="00CC6C9D"/>
    <w:rsid w:val="00CD3D32"/>
    <w:rsid w:val="00CF033F"/>
    <w:rsid w:val="00D23017"/>
    <w:rsid w:val="00D35437"/>
    <w:rsid w:val="00D42ECF"/>
    <w:rsid w:val="00D53669"/>
    <w:rsid w:val="00D53DBB"/>
    <w:rsid w:val="00D57564"/>
    <w:rsid w:val="00D74895"/>
    <w:rsid w:val="00D77AF1"/>
    <w:rsid w:val="00D82A13"/>
    <w:rsid w:val="00D91B13"/>
    <w:rsid w:val="00DB57A5"/>
    <w:rsid w:val="00DC2EBE"/>
    <w:rsid w:val="00DC50AB"/>
    <w:rsid w:val="00DD0AE3"/>
    <w:rsid w:val="00DD1E66"/>
    <w:rsid w:val="00DE543D"/>
    <w:rsid w:val="00E06ED7"/>
    <w:rsid w:val="00E07839"/>
    <w:rsid w:val="00E07C37"/>
    <w:rsid w:val="00E27975"/>
    <w:rsid w:val="00E32A2F"/>
    <w:rsid w:val="00E34F49"/>
    <w:rsid w:val="00E37BEE"/>
    <w:rsid w:val="00E41B55"/>
    <w:rsid w:val="00E4456E"/>
    <w:rsid w:val="00E703A8"/>
    <w:rsid w:val="00E722CE"/>
    <w:rsid w:val="00E765D5"/>
    <w:rsid w:val="00E91258"/>
    <w:rsid w:val="00E96210"/>
    <w:rsid w:val="00EA522F"/>
    <w:rsid w:val="00EC0AF4"/>
    <w:rsid w:val="00EC3BDC"/>
    <w:rsid w:val="00ED0FDD"/>
    <w:rsid w:val="00EE2830"/>
    <w:rsid w:val="00EF2AFC"/>
    <w:rsid w:val="00F069AD"/>
    <w:rsid w:val="00F106C5"/>
    <w:rsid w:val="00F2205F"/>
    <w:rsid w:val="00F26F80"/>
    <w:rsid w:val="00F542BC"/>
    <w:rsid w:val="00F56717"/>
    <w:rsid w:val="00F61408"/>
    <w:rsid w:val="00F71BDE"/>
    <w:rsid w:val="00F91FCB"/>
    <w:rsid w:val="00F93383"/>
    <w:rsid w:val="00FA19FE"/>
    <w:rsid w:val="00FA6274"/>
    <w:rsid w:val="00FC2B7F"/>
    <w:rsid w:val="00FC3C78"/>
    <w:rsid w:val="00FD3F49"/>
    <w:rsid w:val="00FE0831"/>
    <w:rsid w:val="00FE7F00"/>
    <w:rsid w:val="00FF5153"/>
    <w:rsid w:val="00FF6A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66"/>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semiHidden/>
    <w:unhideWhenUsed/>
    <w:rsid w:val="00BB5E75"/>
    <w:pPr>
      <w:spacing w:after="120"/>
    </w:pPr>
  </w:style>
  <w:style w:type="character" w:customStyle="1" w:styleId="BrdtekstTegn">
    <w:name w:val="Brødtekst Tegn"/>
    <w:basedOn w:val="Standardskrifttypeiafsnit"/>
    <w:link w:val="Brdtekst"/>
    <w:uiPriority w:val="99"/>
    <w:semiHidden/>
    <w:rsid w:val="00BB5E75"/>
    <w:rPr>
      <w:rFonts w:ascii="Times New Roman" w:eastAsia="Times New Roman" w:hAnsi="Times New Roman" w:cs="Times New Roman"/>
      <w:sz w:val="24"/>
      <w:szCs w:val="20"/>
      <w:lang w:eastAsia="da-DK"/>
    </w:rPr>
  </w:style>
  <w:style w:type="table" w:styleId="Tabel-Gitter">
    <w:name w:val="Table Grid"/>
    <w:basedOn w:val="Tabel-Normal"/>
    <w:uiPriority w:val="59"/>
    <w:rsid w:val="000E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E05D8"/>
    <w:pPr>
      <w:ind w:left="720"/>
      <w:contextualSpacing/>
    </w:pPr>
  </w:style>
  <w:style w:type="paragraph" w:styleId="Fodnotetekst">
    <w:name w:val="footnote text"/>
    <w:basedOn w:val="Normal"/>
    <w:link w:val="FodnotetekstTegn"/>
    <w:uiPriority w:val="99"/>
    <w:semiHidden/>
    <w:unhideWhenUsed/>
    <w:rsid w:val="00982BCE"/>
    <w:pPr>
      <w:spacing w:line="240" w:lineRule="auto"/>
    </w:pPr>
    <w:rPr>
      <w:sz w:val="20"/>
    </w:rPr>
  </w:style>
  <w:style w:type="character" w:customStyle="1" w:styleId="FodnotetekstTegn">
    <w:name w:val="Fodnotetekst Tegn"/>
    <w:basedOn w:val="Standardskrifttypeiafsnit"/>
    <w:link w:val="Fodnotetekst"/>
    <w:uiPriority w:val="99"/>
    <w:semiHidden/>
    <w:rsid w:val="00982BCE"/>
    <w:rPr>
      <w:rFonts w:ascii="Times New Roman" w:eastAsia="Times New Roman" w:hAnsi="Times New Roman" w:cs="Times New Roman"/>
      <w:sz w:val="20"/>
      <w:szCs w:val="20"/>
      <w:lang w:eastAsia="da-DK"/>
    </w:rPr>
  </w:style>
  <w:style w:type="character" w:styleId="Fodnotehenvisning">
    <w:name w:val="footnote reference"/>
    <w:basedOn w:val="Standardskrifttypeiafsnit"/>
    <w:semiHidden/>
    <w:unhideWhenUsed/>
    <w:rsid w:val="00982BCE"/>
    <w:rPr>
      <w:vertAlign w:val="superscript"/>
    </w:rPr>
  </w:style>
  <w:style w:type="paragraph" w:styleId="Kommentartekst">
    <w:name w:val="annotation text"/>
    <w:basedOn w:val="Normal"/>
    <w:link w:val="KommentartekstTegn"/>
    <w:semiHidden/>
    <w:unhideWhenUsed/>
    <w:rsid w:val="00AF5386"/>
    <w:rPr>
      <w:sz w:val="20"/>
    </w:rPr>
  </w:style>
  <w:style w:type="character" w:customStyle="1" w:styleId="KommentartekstTegn">
    <w:name w:val="Kommentartekst Tegn"/>
    <w:basedOn w:val="Standardskrifttypeiafsnit"/>
    <w:link w:val="Kommentartekst"/>
    <w:semiHidden/>
    <w:rsid w:val="00AF5386"/>
    <w:rPr>
      <w:rFonts w:ascii="Times New Roman" w:eastAsia="Times New Roman" w:hAnsi="Times New Roman" w:cs="Times New Roman"/>
      <w:sz w:val="20"/>
      <w:szCs w:val="20"/>
      <w:lang w:eastAsia="da-DK"/>
    </w:rPr>
  </w:style>
  <w:style w:type="character" w:styleId="Kommentarhenvisning">
    <w:name w:val="annotation reference"/>
    <w:semiHidden/>
    <w:unhideWhenUsed/>
    <w:rsid w:val="00AF5386"/>
    <w:rPr>
      <w:sz w:val="16"/>
      <w:szCs w:val="16"/>
    </w:rPr>
  </w:style>
  <w:style w:type="paragraph" w:styleId="Kommentaremne">
    <w:name w:val="annotation subject"/>
    <w:basedOn w:val="Kommentartekst"/>
    <w:next w:val="Kommentartekst"/>
    <w:link w:val="KommentaremneTegn"/>
    <w:uiPriority w:val="99"/>
    <w:semiHidden/>
    <w:unhideWhenUsed/>
    <w:rsid w:val="00AF5386"/>
    <w:pPr>
      <w:spacing w:line="240" w:lineRule="auto"/>
    </w:pPr>
    <w:rPr>
      <w:b/>
      <w:bCs/>
    </w:rPr>
  </w:style>
  <w:style w:type="character" w:customStyle="1" w:styleId="KommentaremneTegn">
    <w:name w:val="Kommentaremne Tegn"/>
    <w:basedOn w:val="KommentartekstTegn"/>
    <w:link w:val="Kommentaremne"/>
    <w:uiPriority w:val="99"/>
    <w:semiHidden/>
    <w:rsid w:val="00AF5386"/>
    <w:rPr>
      <w:rFonts w:ascii="Times New Roman" w:eastAsia="Times New Roman" w:hAnsi="Times New Roman" w:cs="Times New Roman"/>
      <w:b/>
      <w:bC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66"/>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semiHidden/>
    <w:unhideWhenUsed/>
    <w:rsid w:val="00BB5E75"/>
    <w:pPr>
      <w:spacing w:after="120"/>
    </w:pPr>
  </w:style>
  <w:style w:type="character" w:customStyle="1" w:styleId="BrdtekstTegn">
    <w:name w:val="Brødtekst Tegn"/>
    <w:basedOn w:val="Standardskrifttypeiafsnit"/>
    <w:link w:val="Brdtekst"/>
    <w:uiPriority w:val="99"/>
    <w:semiHidden/>
    <w:rsid w:val="00BB5E75"/>
    <w:rPr>
      <w:rFonts w:ascii="Times New Roman" w:eastAsia="Times New Roman" w:hAnsi="Times New Roman" w:cs="Times New Roman"/>
      <w:sz w:val="24"/>
      <w:szCs w:val="20"/>
      <w:lang w:eastAsia="da-DK"/>
    </w:rPr>
  </w:style>
  <w:style w:type="table" w:styleId="Tabel-Gitter">
    <w:name w:val="Table Grid"/>
    <w:basedOn w:val="Tabel-Normal"/>
    <w:uiPriority w:val="59"/>
    <w:rsid w:val="000E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E05D8"/>
    <w:pPr>
      <w:ind w:left="720"/>
      <w:contextualSpacing/>
    </w:pPr>
  </w:style>
  <w:style w:type="paragraph" w:styleId="Fodnotetekst">
    <w:name w:val="footnote text"/>
    <w:basedOn w:val="Normal"/>
    <w:link w:val="FodnotetekstTegn"/>
    <w:uiPriority w:val="99"/>
    <w:semiHidden/>
    <w:unhideWhenUsed/>
    <w:rsid w:val="00982BCE"/>
    <w:pPr>
      <w:spacing w:line="240" w:lineRule="auto"/>
    </w:pPr>
    <w:rPr>
      <w:sz w:val="20"/>
    </w:rPr>
  </w:style>
  <w:style w:type="character" w:customStyle="1" w:styleId="FodnotetekstTegn">
    <w:name w:val="Fodnotetekst Tegn"/>
    <w:basedOn w:val="Standardskrifttypeiafsnit"/>
    <w:link w:val="Fodnotetekst"/>
    <w:uiPriority w:val="99"/>
    <w:semiHidden/>
    <w:rsid w:val="00982BCE"/>
    <w:rPr>
      <w:rFonts w:ascii="Times New Roman" w:eastAsia="Times New Roman" w:hAnsi="Times New Roman" w:cs="Times New Roman"/>
      <w:sz w:val="20"/>
      <w:szCs w:val="20"/>
      <w:lang w:eastAsia="da-DK"/>
    </w:rPr>
  </w:style>
  <w:style w:type="character" w:styleId="Fodnotehenvisning">
    <w:name w:val="footnote reference"/>
    <w:basedOn w:val="Standardskrifttypeiafsnit"/>
    <w:semiHidden/>
    <w:unhideWhenUsed/>
    <w:rsid w:val="00982BCE"/>
    <w:rPr>
      <w:vertAlign w:val="superscript"/>
    </w:rPr>
  </w:style>
  <w:style w:type="paragraph" w:styleId="Kommentartekst">
    <w:name w:val="annotation text"/>
    <w:basedOn w:val="Normal"/>
    <w:link w:val="KommentartekstTegn"/>
    <w:semiHidden/>
    <w:unhideWhenUsed/>
    <w:rsid w:val="00AF5386"/>
    <w:rPr>
      <w:sz w:val="20"/>
    </w:rPr>
  </w:style>
  <w:style w:type="character" w:customStyle="1" w:styleId="KommentartekstTegn">
    <w:name w:val="Kommentartekst Tegn"/>
    <w:basedOn w:val="Standardskrifttypeiafsnit"/>
    <w:link w:val="Kommentartekst"/>
    <w:semiHidden/>
    <w:rsid w:val="00AF5386"/>
    <w:rPr>
      <w:rFonts w:ascii="Times New Roman" w:eastAsia="Times New Roman" w:hAnsi="Times New Roman" w:cs="Times New Roman"/>
      <w:sz w:val="20"/>
      <w:szCs w:val="20"/>
      <w:lang w:eastAsia="da-DK"/>
    </w:rPr>
  </w:style>
  <w:style w:type="character" w:styleId="Kommentarhenvisning">
    <w:name w:val="annotation reference"/>
    <w:semiHidden/>
    <w:unhideWhenUsed/>
    <w:rsid w:val="00AF5386"/>
    <w:rPr>
      <w:sz w:val="16"/>
      <w:szCs w:val="16"/>
    </w:rPr>
  </w:style>
  <w:style w:type="paragraph" w:styleId="Kommentaremne">
    <w:name w:val="annotation subject"/>
    <w:basedOn w:val="Kommentartekst"/>
    <w:next w:val="Kommentartekst"/>
    <w:link w:val="KommentaremneTegn"/>
    <w:uiPriority w:val="99"/>
    <w:semiHidden/>
    <w:unhideWhenUsed/>
    <w:rsid w:val="00AF5386"/>
    <w:pPr>
      <w:spacing w:line="240" w:lineRule="auto"/>
    </w:pPr>
    <w:rPr>
      <w:b/>
      <w:bCs/>
    </w:rPr>
  </w:style>
  <w:style w:type="character" w:customStyle="1" w:styleId="KommentaremneTegn">
    <w:name w:val="Kommentaremne Tegn"/>
    <w:basedOn w:val="KommentartekstTegn"/>
    <w:link w:val="Kommentaremne"/>
    <w:uiPriority w:val="99"/>
    <w:semiHidden/>
    <w:rsid w:val="00AF5386"/>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7358">
      <w:bodyDiv w:val="1"/>
      <w:marLeft w:val="0"/>
      <w:marRight w:val="0"/>
      <w:marTop w:val="0"/>
      <w:marBottom w:val="0"/>
      <w:divBdr>
        <w:top w:val="none" w:sz="0" w:space="0" w:color="auto"/>
        <w:left w:val="none" w:sz="0" w:space="0" w:color="auto"/>
        <w:bottom w:val="none" w:sz="0" w:space="0" w:color="auto"/>
        <w:right w:val="none" w:sz="0" w:space="0" w:color="auto"/>
      </w:divBdr>
      <w:divsChild>
        <w:div w:id="2015180058">
          <w:marLeft w:val="547"/>
          <w:marRight w:val="0"/>
          <w:marTop w:val="91"/>
          <w:marBottom w:val="0"/>
          <w:divBdr>
            <w:top w:val="none" w:sz="0" w:space="0" w:color="auto"/>
            <w:left w:val="none" w:sz="0" w:space="0" w:color="auto"/>
            <w:bottom w:val="none" w:sz="0" w:space="0" w:color="auto"/>
            <w:right w:val="none" w:sz="0" w:space="0" w:color="auto"/>
          </w:divBdr>
        </w:div>
        <w:div w:id="1067922628">
          <w:marLeft w:val="1166"/>
          <w:marRight w:val="0"/>
          <w:marTop w:val="82"/>
          <w:marBottom w:val="0"/>
          <w:divBdr>
            <w:top w:val="none" w:sz="0" w:space="0" w:color="auto"/>
            <w:left w:val="none" w:sz="0" w:space="0" w:color="auto"/>
            <w:bottom w:val="none" w:sz="0" w:space="0" w:color="auto"/>
            <w:right w:val="none" w:sz="0" w:space="0" w:color="auto"/>
          </w:divBdr>
        </w:div>
        <w:div w:id="468014373">
          <w:marLeft w:val="1166"/>
          <w:marRight w:val="0"/>
          <w:marTop w:val="82"/>
          <w:marBottom w:val="0"/>
          <w:divBdr>
            <w:top w:val="none" w:sz="0" w:space="0" w:color="auto"/>
            <w:left w:val="none" w:sz="0" w:space="0" w:color="auto"/>
            <w:bottom w:val="none" w:sz="0" w:space="0" w:color="auto"/>
            <w:right w:val="none" w:sz="0" w:space="0" w:color="auto"/>
          </w:divBdr>
        </w:div>
        <w:div w:id="1680350859">
          <w:marLeft w:val="1166"/>
          <w:marRight w:val="0"/>
          <w:marTop w:val="82"/>
          <w:marBottom w:val="0"/>
          <w:divBdr>
            <w:top w:val="none" w:sz="0" w:space="0" w:color="auto"/>
            <w:left w:val="none" w:sz="0" w:space="0" w:color="auto"/>
            <w:bottom w:val="none" w:sz="0" w:space="0" w:color="auto"/>
            <w:right w:val="none" w:sz="0" w:space="0" w:color="auto"/>
          </w:divBdr>
        </w:div>
        <w:div w:id="1383215058">
          <w:marLeft w:val="1166"/>
          <w:marRight w:val="0"/>
          <w:marTop w:val="82"/>
          <w:marBottom w:val="0"/>
          <w:divBdr>
            <w:top w:val="none" w:sz="0" w:space="0" w:color="auto"/>
            <w:left w:val="none" w:sz="0" w:space="0" w:color="auto"/>
            <w:bottom w:val="none" w:sz="0" w:space="0" w:color="auto"/>
            <w:right w:val="none" w:sz="0" w:space="0" w:color="auto"/>
          </w:divBdr>
        </w:div>
        <w:div w:id="401416854">
          <w:marLeft w:val="1166"/>
          <w:marRight w:val="0"/>
          <w:marTop w:val="82"/>
          <w:marBottom w:val="0"/>
          <w:divBdr>
            <w:top w:val="none" w:sz="0" w:space="0" w:color="auto"/>
            <w:left w:val="none" w:sz="0" w:space="0" w:color="auto"/>
            <w:bottom w:val="none" w:sz="0" w:space="0" w:color="auto"/>
            <w:right w:val="none" w:sz="0" w:space="0" w:color="auto"/>
          </w:divBdr>
        </w:div>
        <w:div w:id="647906675">
          <w:marLeft w:val="1166"/>
          <w:marRight w:val="0"/>
          <w:marTop w:val="82"/>
          <w:marBottom w:val="0"/>
          <w:divBdr>
            <w:top w:val="none" w:sz="0" w:space="0" w:color="auto"/>
            <w:left w:val="none" w:sz="0" w:space="0" w:color="auto"/>
            <w:bottom w:val="none" w:sz="0" w:space="0" w:color="auto"/>
            <w:right w:val="none" w:sz="0" w:space="0" w:color="auto"/>
          </w:divBdr>
        </w:div>
        <w:div w:id="170610730">
          <w:marLeft w:val="547"/>
          <w:marRight w:val="0"/>
          <w:marTop w:val="91"/>
          <w:marBottom w:val="0"/>
          <w:divBdr>
            <w:top w:val="none" w:sz="0" w:space="0" w:color="auto"/>
            <w:left w:val="none" w:sz="0" w:space="0" w:color="auto"/>
            <w:bottom w:val="none" w:sz="0" w:space="0" w:color="auto"/>
            <w:right w:val="none" w:sz="0" w:space="0" w:color="auto"/>
          </w:divBdr>
        </w:div>
      </w:divsChild>
    </w:div>
    <w:div w:id="16196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elt"/>
          <w:gallery w:val="placeholder"/>
        </w:category>
        <w:types>
          <w:type w:val="bbPlcHdr"/>
        </w:types>
        <w:behaviors>
          <w:behavior w:val="content"/>
        </w:behaviors>
        <w:guid w:val="{0273907D-E96D-4752-A767-DE01E55C2C7C}"/>
      </w:docPartPr>
      <w:docPartBody>
        <w:p w:rsidR="00E363F8" w:rsidRDefault="00A3359C">
          <w:r w:rsidRPr="00CE3E9E">
            <w:rPr>
              <w:rStyle w:val="Pladsholdertekst"/>
            </w:rPr>
            <w:t>Klik her for at angive en dato.</w:t>
          </w:r>
        </w:p>
      </w:docPartBody>
    </w:docPart>
    <w:docPart>
      <w:docPartPr>
        <w:name w:val="DefaultPlaceholder_1082065158"/>
        <w:category>
          <w:name w:val="Generelt"/>
          <w:gallery w:val="placeholder"/>
        </w:category>
        <w:types>
          <w:type w:val="bbPlcHdr"/>
        </w:types>
        <w:behaviors>
          <w:behavior w:val="content"/>
        </w:behaviors>
        <w:guid w:val="{18CA4C69-439D-457A-875D-358FAC39EC46}"/>
      </w:docPartPr>
      <w:docPartBody>
        <w:p w:rsidR="00E363F8" w:rsidRDefault="00A3359C">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9C"/>
    <w:rsid w:val="0002434A"/>
    <w:rsid w:val="00077BDE"/>
    <w:rsid w:val="000F137A"/>
    <w:rsid w:val="001C3F93"/>
    <w:rsid w:val="001E4962"/>
    <w:rsid w:val="002F1A1A"/>
    <w:rsid w:val="003032C8"/>
    <w:rsid w:val="003369B2"/>
    <w:rsid w:val="00355117"/>
    <w:rsid w:val="003B0E3E"/>
    <w:rsid w:val="00574258"/>
    <w:rsid w:val="007107DE"/>
    <w:rsid w:val="00710B99"/>
    <w:rsid w:val="007148D8"/>
    <w:rsid w:val="00714E7C"/>
    <w:rsid w:val="00754CD3"/>
    <w:rsid w:val="00756F58"/>
    <w:rsid w:val="007E7A00"/>
    <w:rsid w:val="00877AF7"/>
    <w:rsid w:val="008D5346"/>
    <w:rsid w:val="00A3359C"/>
    <w:rsid w:val="00A33B9F"/>
    <w:rsid w:val="00A44DE8"/>
    <w:rsid w:val="00AE25E7"/>
    <w:rsid w:val="00B165F2"/>
    <w:rsid w:val="00CD4F5B"/>
    <w:rsid w:val="00D00C32"/>
    <w:rsid w:val="00DB306F"/>
    <w:rsid w:val="00DF2348"/>
    <w:rsid w:val="00DF74C1"/>
    <w:rsid w:val="00E363F8"/>
    <w:rsid w:val="00ED4B44"/>
    <w:rsid w:val="00EE793B"/>
    <w:rsid w:val="00F10D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E4962"/>
    <w:rPr>
      <w:color w:val="808080"/>
    </w:rPr>
  </w:style>
  <w:style w:type="paragraph" w:customStyle="1" w:styleId="0804174FA44F475091D1A2AAA49A8B6D">
    <w:name w:val="0804174FA44F475091D1A2AAA49A8B6D"/>
    <w:rsid w:val="001E49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E4962"/>
    <w:rPr>
      <w:color w:val="808080"/>
    </w:rPr>
  </w:style>
  <w:style w:type="paragraph" w:customStyle="1" w:styleId="0804174FA44F475091D1A2AAA49A8B6D">
    <w:name w:val="0804174FA44F475091D1A2AAA49A8B6D"/>
    <w:rsid w:val="001E4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026117" gbs:entity="Document" gbs:templateDesignerVersion="3.1 F">
  <gbs:DocumentDate gbs:loadFromGrowBusiness="OnProduce" gbs:saveInGrowBusiness="False" gbs:connected="true" gbs:recno="" gbs:entity="" gbs:datatype="date" gbs:key="10000">2015-04-16T00:00:00</gbs:DocumentDate>
  <gbs:DocumentDate gbs:loadFromGrowBusiness="OnProduce" gbs:saveInGrowBusiness="False" gbs:connected="true" gbs:recno="" gbs:entity="" gbs:datatype="date" gbs:key="10001">2017-08-28T00:00:00</gbs:DocumentDate>
  <gbs:ExternalSiteId gbs:loadFromGrowBusiness="OnProduce" gbs:saveInGrowBusiness="False" gbs:connected="true" gbs:recno="" gbs:entity="" gbs:datatype="string" gbs:key="10002">
  </gbs:ExternalSiteId>
  <gbs:DocumentNumber gbs:loadFromGrowBusiness="OnProduce" gbs:saveInGrowBusiness="False" gbs:connected="true" gbs:recno="" gbs:entity="" gbs:datatype="string" gbs:key="10003">15/00080-38</gbs:DocumentNumber>
  <gbs:ToOrgUnit.Name gbs:loadFromGrowBusiness="OnProduce" gbs:saveInGrowBusiness="False" gbs:connected="true" gbs:recno="" gbs:entity="" gbs:datatype="string" gbs:key="10004" gbs:removeContentControl="0">JUS</gbs:ToOrgUnit.Name>
  <gbs:OurRef.Initials gbs:loadFromGrowBusiness="OnProduce" gbs:saveInGrowBusiness="False" gbs:connected="true" gbs:recno="" gbs:entity="" gbs:datatype="string" gbs:key="10005" gbs:removeContentControl="0">VU</gbs:OurRef.Initials>
  <gbs:OurRef.Initials gbs:loadFromGrowBusiness="OnProduce" gbs:saveInGrowBusiness="False" gbs:connected="true" gbs:recno="" gbs:entity="" gbs:datatype="string" gbs:key="10006" gbs:removeContentControl="0">VU</gbs:OurRef.Initials>
  <gbs:OurRef.Initials gbs:loadFromGrowBusiness="OnProduce" gbs:saveInGrowBusiness="False" gbs:connected="true" gbs:recno="" gbs:entity="" gbs:datatype="string" gbs:key="10007">VU</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AAB9-E8E0-4FC5-8476-4ABAF6BEF999}">
  <ds:schemaRefs>
    <ds:schemaRef ds:uri="http://www.software-innovation.no/growBusinessDocument"/>
  </ds:schemaRefs>
</ds:datastoreItem>
</file>

<file path=customXml/itemProps2.xml><?xml version="1.0" encoding="utf-8"?>
<ds:datastoreItem xmlns:ds="http://schemas.openxmlformats.org/officeDocument/2006/customXml" ds:itemID="{6389C4F7-0D2F-4238-812A-88635DD9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A7E27E8B.dotm</Template>
  <TotalTime>1</TotalTime>
  <Pages>1</Pages>
  <Words>1643</Words>
  <Characters>10025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Vibeke Ulf Dumrath</dc:creator>
  <cp:lastModifiedBy>Hanne Colberg</cp:lastModifiedBy>
  <cp:revision>4</cp:revision>
  <cp:lastPrinted>2015-08-24T08:24:00Z</cp:lastPrinted>
  <dcterms:created xsi:type="dcterms:W3CDTF">2017-12-19T08:42:00Z</dcterms:created>
  <dcterms:modified xsi:type="dcterms:W3CDTF">2017-12-19T09:47:00Z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\\S-ESDH0005\docprod\templates\_KFST-KARTEL-Notat.dotx</vt:lpwstr>
  </property>
  <property fmtid="{D5CDD505-2E9C-101B-9397-08002B2CF9AE}" pid="3" name="filePathOneNote">
    <vt:lpwstr>\\S-ESDH0005\360users\onenote\prod\b002686\</vt:lpwstr>
  </property>
  <property fmtid="{D5CDD505-2E9C-101B-9397-08002B2CF9AE}" pid="4" name="comment">
    <vt:lpwstr>Notat om Kommissionens forslag til næste skridt i rapporterne om ressources, uafhængighed, og effektive efterforsknings- og beslutningsbeføjelser</vt:lpwstr>
  </property>
  <property fmtid="{D5CDD505-2E9C-101B-9397-08002B2CF9AE}" pid="5" name="module">
    <vt:lpwstr>Document</vt:lpwstr>
  </property>
  <property fmtid="{D5CDD505-2E9C-101B-9397-08002B2CF9AE}" pid="6" name="customParams">
    <vt:lpwstr>
    </vt:lpwstr>
  </property>
  <property fmtid="{D5CDD505-2E9C-101B-9397-08002B2CF9AE}" pid="7" name="sourceId">
    <vt:lpwstr>
    </vt:lpwstr>
  </property>
  <property fmtid="{D5CDD505-2E9C-101B-9397-08002B2CF9AE}" pid="8" name="docId">
    <vt:lpwstr>1026117</vt:lpwstr>
  </property>
  <property fmtid="{D5CDD505-2E9C-101B-9397-08002B2CF9AE}" pid="9" name="templateId">
    <vt:lpwstr>
    </vt:lpwstr>
  </property>
  <property fmtid="{D5CDD505-2E9C-101B-9397-08002B2CF9AE}" pid="10" name="createdBy">
    <vt:lpwstr>Vibeke Ulf Dumrath</vt:lpwstr>
  </property>
  <property fmtid="{D5CDD505-2E9C-101B-9397-08002B2CF9AE}" pid="11" name="modifiedBy">
    <vt:lpwstr>Vibeke Ulf Dumrath</vt:lpwstr>
  </property>
  <property fmtid="{D5CDD505-2E9C-101B-9397-08002B2CF9AE}" pid="12" name="serverName">
    <vt:lpwstr>360-kfst-prod</vt:lpwstr>
  </property>
  <property fmtid="{D5CDD505-2E9C-101B-9397-08002B2CF9AE}" pid="13" name="externalUser">
    <vt:lpwstr>
    </vt:lpwstr>
  </property>
  <property fmtid="{D5CDD505-2E9C-101B-9397-08002B2CF9AE}" pid="14" name="currentVerId">
    <vt:lpwstr>1016828</vt:lpwstr>
  </property>
  <property fmtid="{D5CDD505-2E9C-101B-9397-08002B2CF9AE}" pid="15" name="Operation">
    <vt:lpwstr>CheckoutFile</vt:lpwstr>
  </property>
  <property fmtid="{D5CDD505-2E9C-101B-9397-08002B2CF9AE}" pid="16" name="BackOfficeType">
    <vt:lpwstr>growBusiness Solutions</vt:lpwstr>
  </property>
  <property fmtid="{D5CDD505-2E9C-101B-9397-08002B2CF9AE}" pid="17" name="Server">
    <vt:lpwstr>360-kfst-prod</vt:lpwstr>
  </property>
  <property fmtid="{D5CDD505-2E9C-101B-9397-08002B2CF9AE}" pid="18" name="Protocol">
    <vt:lpwstr>off</vt:lpwstr>
  </property>
  <property fmtid="{D5CDD505-2E9C-101B-9397-08002B2CF9AE}" pid="19" name="Site">
    <vt:lpwstr>/locator.aspx</vt:lpwstr>
  </property>
  <property fmtid="{D5CDD505-2E9C-101B-9397-08002B2CF9AE}" pid="20" name="FileID">
    <vt:lpwstr>1651911</vt:lpwstr>
  </property>
  <property fmtid="{D5CDD505-2E9C-101B-9397-08002B2CF9AE}" pid="21" name="VerID">
    <vt:lpwstr>0</vt:lpwstr>
  </property>
  <property fmtid="{D5CDD505-2E9C-101B-9397-08002B2CF9AE}" pid="22" name="FilePath">
    <vt:lpwstr>\\S-ESDH0005\360users\work\prod\b002686</vt:lpwstr>
  </property>
  <property fmtid="{D5CDD505-2E9C-101B-9397-08002B2CF9AE}" pid="23" name="FileName">
    <vt:lpwstr>15-00080-38 Notat om Kommissionens forslag til næste skridt i rapporterne om ressources, uaf 1651911_1016828_0.DOCX</vt:lpwstr>
  </property>
  <property fmtid="{D5CDD505-2E9C-101B-9397-08002B2CF9AE}" pid="24" name="FullFileName">
    <vt:lpwstr>\\S-ESDH0005\360users\work\prod\b002686\15-00080-38 Notat om Kommissionens forslag til næste skridt i rapporterne om ressources, uaf 1651911_1016828_0.DOCX</vt:lpwstr>
  </property>
</Properties>
</file>